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B1" w:rsidRPr="00F704B1" w:rsidRDefault="00F704B1" w:rsidP="00F704B1">
      <w:r>
        <w:rPr>
          <w:noProof/>
          <w:lang w:eastAsia="es-C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46430" cy="865505"/>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865505"/>
                    </a:xfrm>
                    <a:prstGeom prst="rect">
                      <a:avLst/>
                    </a:prstGeom>
                    <a:noFill/>
                  </pic:spPr>
                </pic:pic>
              </a:graphicData>
            </a:graphic>
          </wp:anchor>
        </w:drawing>
      </w:r>
      <w:r w:rsidR="008355C0">
        <w:t xml:space="preserve">                                                                                                                               12/06/20</w:t>
      </w:r>
      <w:r>
        <w:br w:type="textWrapping" w:clear="all"/>
        <w:t xml:space="preserve">                 </w:t>
      </w:r>
      <w:r w:rsidR="008355C0">
        <w:t xml:space="preserve">                      </w:t>
      </w:r>
      <w:r w:rsidR="00B432F4">
        <w:t>INSPECCIONES DE DEPOSITOS DEBAJO DEL CAPO.</w:t>
      </w:r>
      <w:r w:rsidRPr="00F704B1">
        <w:t xml:space="preserve"> </w:t>
      </w:r>
      <w:r w:rsidR="008355C0">
        <w:t>(6)</w:t>
      </w:r>
      <w:r w:rsidRPr="00F704B1">
        <w:t xml:space="preserve">            </w:t>
      </w:r>
    </w:p>
    <w:p w:rsidR="00F704B1" w:rsidRPr="00F704B1" w:rsidRDefault="00F704B1" w:rsidP="00F704B1">
      <w:r w:rsidRPr="00F704B1">
        <w:t xml:space="preserve">CARRERA:           MECÁNICA AUTOMOTRIZ </w:t>
      </w:r>
    </w:p>
    <w:p w:rsidR="00F704B1" w:rsidRPr="00F704B1" w:rsidRDefault="00F704B1" w:rsidP="00F704B1">
      <w:r w:rsidRPr="00F704B1">
        <w:t xml:space="preserve">ASIGNATURA:    LECTURA DE PLANOS MANUALES TECNICOS </w:t>
      </w:r>
      <w:proofErr w:type="gramStart"/>
      <w:r w:rsidRPr="00F704B1">
        <w:t>(  L.P.M.T</w:t>
      </w:r>
      <w:proofErr w:type="gramEnd"/>
      <w:r w:rsidRPr="00F704B1">
        <w:t xml:space="preserve"> )</w:t>
      </w:r>
    </w:p>
    <w:p w:rsidR="00F704B1" w:rsidRPr="00F704B1" w:rsidRDefault="00F704B1" w:rsidP="00F704B1">
      <w:r w:rsidRPr="00F704B1">
        <w:t xml:space="preserve">SEMESTRE  I   : TERCERO MECANICA </w:t>
      </w:r>
    </w:p>
    <w:p w:rsidR="00F704B1" w:rsidRPr="00F704B1" w:rsidRDefault="00F704B1" w:rsidP="00F704B1">
      <w:r w:rsidRPr="00F704B1">
        <w:t xml:space="preserve">PROFESOR:      JOSE RUNIAHUE SERON </w:t>
      </w:r>
    </w:p>
    <w:p w:rsidR="00F704B1" w:rsidRDefault="00F704B1" w:rsidP="00F704B1">
      <w:r w:rsidRPr="00F704B1">
        <w:t xml:space="preserve">Fecha entrega online </w:t>
      </w:r>
      <w:r w:rsidR="00517A98">
        <w:t>26</w:t>
      </w:r>
      <w:bookmarkStart w:id="0" w:name="_GoBack"/>
      <w:bookmarkEnd w:id="0"/>
      <w:r w:rsidRPr="00F704B1">
        <w:t xml:space="preserve">/06/20         ( runi28@live.cl ).   </w:t>
      </w:r>
    </w:p>
    <w:p w:rsidR="00F704B1" w:rsidRPr="00E25325" w:rsidRDefault="00F704B1" w:rsidP="00F704B1">
      <w:r w:rsidRPr="00E25325">
        <w:rPr>
          <w:b/>
          <w:bCs/>
        </w:rPr>
        <w:t xml:space="preserve">1. Introducción </w:t>
      </w:r>
    </w:p>
    <w:p w:rsidR="00F704B1" w:rsidRPr="00E25325" w:rsidRDefault="00F704B1" w:rsidP="00F704B1">
      <w:pPr>
        <w:jc w:val="both"/>
      </w:pPr>
      <w:r>
        <w:t xml:space="preserve">La actividad </w:t>
      </w:r>
      <w:r w:rsidRPr="00E25325">
        <w:t xml:space="preserve">permite que el alumno pueda aplicar todos los conocimientos asociados a la utilización de los equipos de la línea de inspección automotriz para determinar el estado de funcionamiento del vehículo en relación a la normativa vigente y los procedimientos establecidos. Además podrá determinar las causas de las mediciones o verificaciones que estén fuera de los valores indicados por la normativa correspondiente.- </w:t>
      </w:r>
    </w:p>
    <w:p w:rsidR="00F704B1" w:rsidRPr="00E25325" w:rsidRDefault="00F704B1" w:rsidP="00F704B1">
      <w:pPr>
        <w:jc w:val="both"/>
      </w:pPr>
      <w:r w:rsidRPr="00E25325">
        <w:rPr>
          <w:b/>
          <w:bCs/>
        </w:rPr>
        <w:t xml:space="preserve">2. Objetivos </w:t>
      </w:r>
    </w:p>
    <w:p w:rsidR="00F704B1" w:rsidRPr="00E25325" w:rsidRDefault="00F704B1" w:rsidP="00F704B1">
      <w:pPr>
        <w:jc w:val="both"/>
      </w:pPr>
      <w:r w:rsidRPr="00E25325">
        <w:t xml:space="preserve">Al completar esta guía el alumno será capaz de: </w:t>
      </w:r>
    </w:p>
    <w:p w:rsidR="00F704B1" w:rsidRPr="00E25325" w:rsidRDefault="00F704B1" w:rsidP="00F704B1">
      <w:pPr>
        <w:jc w:val="both"/>
      </w:pPr>
      <w:r w:rsidRPr="00E25325">
        <w:rPr>
          <w:b/>
          <w:bCs/>
        </w:rPr>
        <w:t xml:space="preserve">- </w:t>
      </w:r>
      <w:r>
        <w:t>Iden</w:t>
      </w:r>
      <w:r w:rsidR="000009C1">
        <w:t xml:space="preserve">tificar </w:t>
      </w:r>
      <w:r>
        <w:t xml:space="preserve"> los depósitos que hay debajo del </w:t>
      </w:r>
      <w:proofErr w:type="gramStart"/>
      <w:r>
        <w:t xml:space="preserve">capo </w:t>
      </w:r>
      <w:r w:rsidRPr="00E25325">
        <w:t>.</w:t>
      </w:r>
      <w:proofErr w:type="gramEnd"/>
      <w:r w:rsidRPr="00E25325">
        <w:t xml:space="preserve"> </w:t>
      </w:r>
    </w:p>
    <w:p w:rsidR="00F704B1" w:rsidRPr="00E25325" w:rsidRDefault="00F704B1" w:rsidP="00F704B1">
      <w:pPr>
        <w:jc w:val="both"/>
      </w:pPr>
      <w:r w:rsidRPr="00E25325">
        <w:rPr>
          <w:b/>
          <w:bCs/>
        </w:rPr>
        <w:t xml:space="preserve">- </w:t>
      </w:r>
      <w:r>
        <w:t>comprobar</w:t>
      </w:r>
      <w:r w:rsidR="000009C1">
        <w:t xml:space="preserve">  los </w:t>
      </w:r>
      <w:r w:rsidRPr="00E25325">
        <w:t xml:space="preserve"> </w:t>
      </w:r>
      <w:r w:rsidR="000009C1">
        <w:t xml:space="preserve">niveles </w:t>
      </w:r>
      <w:r w:rsidRPr="00E25325">
        <w:t>del ve</w:t>
      </w:r>
      <w:r w:rsidR="000009C1">
        <w:t xml:space="preserve">hículo que indica el manual de </w:t>
      </w:r>
      <w:proofErr w:type="gramStart"/>
      <w:r w:rsidR="000009C1">
        <w:t>vehículo .</w:t>
      </w:r>
      <w:proofErr w:type="gramEnd"/>
    </w:p>
    <w:p w:rsidR="00F704B1" w:rsidRPr="00E25325" w:rsidRDefault="00F704B1" w:rsidP="00F704B1">
      <w:pPr>
        <w:jc w:val="both"/>
      </w:pPr>
      <w:r w:rsidRPr="00E25325">
        <w:rPr>
          <w:b/>
          <w:bCs/>
        </w:rPr>
        <w:t xml:space="preserve">- </w:t>
      </w:r>
      <w:r w:rsidRPr="00E25325">
        <w:t xml:space="preserve">Determinar si el vehículo cumple o no con las estipulaciones señaladas en la normativa correspondiente. </w:t>
      </w:r>
    </w:p>
    <w:p w:rsidR="00F704B1" w:rsidRDefault="00F704B1" w:rsidP="00F704B1">
      <w:pPr>
        <w:jc w:val="both"/>
      </w:pPr>
      <w:r w:rsidRPr="00E25325">
        <w:rPr>
          <w:b/>
          <w:bCs/>
        </w:rPr>
        <w:t xml:space="preserve">- </w:t>
      </w:r>
      <w:r w:rsidRPr="00E25325">
        <w:t xml:space="preserve">Utilizar  material técnico asociados a guía de manera adecuada. </w:t>
      </w:r>
    </w:p>
    <w:p w:rsidR="00B432F4" w:rsidRDefault="00B432F4" w:rsidP="00F704B1">
      <w:pPr>
        <w:jc w:val="both"/>
      </w:pPr>
      <w:r w:rsidRPr="00B432F4">
        <w:rPr>
          <w:noProof/>
          <w:lang w:eastAsia="es-CL"/>
        </w:rPr>
        <w:drawing>
          <wp:inline distT="0" distB="0" distL="0" distR="0" wp14:anchorId="6D8680ED" wp14:editId="5C0CE414">
            <wp:extent cx="5609303" cy="1838325"/>
            <wp:effectExtent l="0" t="0" r="0" b="0"/>
            <wp:docPr id="2" name="Imagen 2" descr="Las partes del motor de un coche: cómo identificarlas - Mo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artes del motor de un coche: cómo identificarlas - Moto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839251"/>
                    </a:xfrm>
                    <a:prstGeom prst="rect">
                      <a:avLst/>
                    </a:prstGeom>
                    <a:noFill/>
                    <a:ln>
                      <a:noFill/>
                    </a:ln>
                  </pic:spPr>
                </pic:pic>
              </a:graphicData>
            </a:graphic>
          </wp:inline>
        </w:drawing>
      </w:r>
    </w:p>
    <w:p w:rsidR="00F704B1" w:rsidRDefault="00F704B1" w:rsidP="00F704B1">
      <w:pPr>
        <w:rPr>
          <w:b/>
          <w:bCs/>
        </w:rPr>
      </w:pPr>
      <w:r w:rsidRPr="00F704B1">
        <w:rPr>
          <w:b/>
          <w:bCs/>
        </w:rPr>
        <w:lastRenderedPageBreak/>
        <w:t xml:space="preserve">3. Marco teórico </w:t>
      </w:r>
    </w:p>
    <w:p w:rsidR="00F704B1" w:rsidRPr="000009C1" w:rsidRDefault="00F704B1" w:rsidP="00F704B1">
      <w:pPr>
        <w:rPr>
          <w:b/>
          <w:color w:val="000000" w:themeColor="text1"/>
        </w:rPr>
      </w:pPr>
      <w:r w:rsidRPr="000009C1">
        <w:rPr>
          <w:b/>
          <w:color w:val="000000" w:themeColor="text1"/>
        </w:rPr>
        <w:t>El ACEITE</w:t>
      </w:r>
    </w:p>
    <w:p w:rsidR="00F704B1" w:rsidRPr="00F704B1" w:rsidRDefault="00F704B1" w:rsidP="000009C1">
      <w:pPr>
        <w:jc w:val="both"/>
      </w:pPr>
      <w:r w:rsidRPr="00F704B1">
        <w:t>El lubricante</w:t>
      </w:r>
      <w:r w:rsidR="000009C1">
        <w:t xml:space="preserve"> es uno de los fluidos del vehículo </w:t>
      </w:r>
      <w:r w:rsidRPr="00F704B1">
        <w:t xml:space="preserve"> cuya revisión se tiene más interiorizada. Quien más quien menos conoce las</w:t>
      </w:r>
      <w:hyperlink r:id="rId7" w:history="1">
        <w:r w:rsidRPr="00F704B1">
          <w:rPr>
            <w:rStyle w:val="Hipervnculo"/>
            <w:color w:val="000000" w:themeColor="text1"/>
            <w:u w:val="none"/>
          </w:rPr>
          <w:t> consecuencias catastróficas de no cambiar el aceite</w:t>
        </w:r>
      </w:hyperlink>
      <w:r w:rsidRPr="00F704B1">
        <w:t> o llevar el nivel por debajo de lo aconsejado (o por encima).</w:t>
      </w:r>
    </w:p>
    <w:p w:rsidR="00F704B1" w:rsidRDefault="00F704B1" w:rsidP="000009C1">
      <w:pPr>
        <w:jc w:val="both"/>
      </w:pPr>
      <w:r w:rsidRPr="00F704B1">
        <w:t>Por tanto, además de sustituirlo cuando indique el fabricante (entre 5.000 y 30.000 kilómetros, según modelo), hay que revisar su nivel con frecuencia. Al menos una vez al mes y siempre antes de un viaje largo. Y si el coche es antiguo, mejor cada dos semanas.</w:t>
      </w:r>
    </w:p>
    <w:p w:rsidR="000009C1" w:rsidRPr="000009C1" w:rsidRDefault="000009C1" w:rsidP="000009C1">
      <w:pPr>
        <w:rPr>
          <w:b/>
        </w:rPr>
      </w:pPr>
      <w:r w:rsidRPr="000009C1">
        <w:rPr>
          <w:b/>
        </w:rPr>
        <w:t>REFRIGERANTE</w:t>
      </w:r>
    </w:p>
    <w:p w:rsidR="000009C1" w:rsidRPr="000009C1" w:rsidRDefault="000009C1" w:rsidP="000009C1">
      <w:pPr>
        <w:jc w:val="both"/>
      </w:pPr>
      <w:r w:rsidRPr="000009C1">
        <w:t>El refrigerante cumple una misión fundamental entre los líquidos del coche: circula por el circuito interno del motor y absorbe parte del calor que genera la combustión, por lo que evita un sobrecalentamiento que podría ser fatal. Un exceso de temperatura podría fundir los pistones e incluso desencadenar una peligrosa explosión interna.</w:t>
      </w:r>
    </w:p>
    <w:p w:rsidR="000009C1" w:rsidRDefault="000009C1" w:rsidP="000009C1">
      <w:pPr>
        <w:jc w:val="both"/>
      </w:pPr>
      <w:r w:rsidRPr="000009C1">
        <w:t>El refrigerante está compuesto, habitualmente, de agua destilada y </w:t>
      </w:r>
      <w:r w:rsidRPr="000009C1">
        <w:rPr>
          <w:color w:val="000000" w:themeColor="text1"/>
        </w:rPr>
        <w:t>anticongelante concentrado, </w:t>
      </w:r>
      <w:r w:rsidRPr="000009C1">
        <w:t xml:space="preserve">que también se encarga de que el líquido no se congele y estropee el circuito en invierno. En resumen, el refrigerante debe tener una temperatura de ebullición muy alta y una temperatura de congelación baja, aparte de propiedades anticorrosivas y </w:t>
      </w:r>
      <w:proofErr w:type="spellStart"/>
      <w:r w:rsidRPr="000009C1">
        <w:t>antiincrustantes</w:t>
      </w:r>
      <w:proofErr w:type="spellEnd"/>
      <w:r w:rsidRPr="000009C1">
        <w:t>.</w:t>
      </w:r>
    </w:p>
    <w:p w:rsidR="000009C1" w:rsidRPr="000009C1" w:rsidRDefault="000009C1" w:rsidP="000009C1">
      <w:pPr>
        <w:rPr>
          <w:b/>
        </w:rPr>
      </w:pPr>
      <w:r w:rsidRPr="000009C1">
        <w:rPr>
          <w:b/>
        </w:rPr>
        <w:t>AGUA DEL LIMPIAPARABRISAS</w:t>
      </w:r>
    </w:p>
    <w:p w:rsidR="000009C1" w:rsidRDefault="000009C1" w:rsidP="000009C1">
      <w:pPr>
        <w:jc w:val="both"/>
      </w:pPr>
      <w:r w:rsidRPr="000009C1">
        <w:t>Uno de los líquidos del coche menos importantes a primera vista, pero que también puede darte un disgusto. Aparte de que </w:t>
      </w:r>
      <w:hyperlink r:id="rId8" w:tgtFrame="_blank" w:history="1">
        <w:r w:rsidRPr="000009C1">
          <w:rPr>
            <w:rStyle w:val="Hipervnculo"/>
            <w:color w:val="000000" w:themeColor="text1"/>
            <w:u w:val="none"/>
          </w:rPr>
          <w:t>un parabrisas sucio</w:t>
        </w:r>
      </w:hyperlink>
      <w:r w:rsidRPr="000009C1">
        <w:t xml:space="preserve"> resulta peligroso (sobre todo cuando da el sol de frente), </w:t>
      </w:r>
      <w:r>
        <w:t xml:space="preserve">quizá tengas </w:t>
      </w:r>
      <w:proofErr w:type="gramStart"/>
      <w:r>
        <w:t xml:space="preserve">problemas </w:t>
      </w:r>
      <w:r w:rsidRPr="000009C1">
        <w:t>.</w:t>
      </w:r>
      <w:proofErr w:type="gramEnd"/>
      <w:r w:rsidRPr="000009C1">
        <w:t xml:space="preserve"> No siempre ponen pegas por llevar el depósito vacío, pero a veces sí, por lo que conviene llevarlo por lo menos medio lleno.</w:t>
      </w:r>
    </w:p>
    <w:p w:rsidR="000009C1" w:rsidRPr="000009C1" w:rsidRDefault="000009C1" w:rsidP="000009C1">
      <w:pPr>
        <w:jc w:val="both"/>
        <w:rPr>
          <w:b/>
        </w:rPr>
      </w:pPr>
      <w:r w:rsidRPr="000009C1">
        <w:rPr>
          <w:b/>
        </w:rPr>
        <w:t>LÍQUIDO DE FRENOS</w:t>
      </w:r>
    </w:p>
    <w:p w:rsidR="000009C1" w:rsidRDefault="000009C1" w:rsidP="000009C1">
      <w:pPr>
        <w:jc w:val="both"/>
      </w:pPr>
      <w:r w:rsidRPr="000009C1">
        <w:t>No hace falta decir que el de frenos es otro de los circuitos hidráulicos del coche fundamentales para la seguridad, así que conviene revisarlo periódicamente (un par de veces al año, por ejemplo). El cambio de líquido será cada dos años, aproximadamente, ya que la humedad acelera su deterioro y el punto de ebullición se reduce también con el tiempo.</w:t>
      </w:r>
    </w:p>
    <w:p w:rsidR="000009C1" w:rsidRPr="00B432F4" w:rsidRDefault="000009C1" w:rsidP="000009C1">
      <w:pPr>
        <w:jc w:val="both"/>
        <w:rPr>
          <w:b/>
        </w:rPr>
      </w:pPr>
      <w:r w:rsidRPr="00B432F4">
        <w:rPr>
          <w:b/>
        </w:rPr>
        <w:t>LÍQUIDO DE DIRECCIÓN</w:t>
      </w:r>
    </w:p>
    <w:p w:rsidR="000009C1" w:rsidRPr="000009C1" w:rsidRDefault="000009C1" w:rsidP="000009C1">
      <w:pPr>
        <w:jc w:val="both"/>
      </w:pPr>
      <w:r w:rsidRPr="000009C1">
        <w:t>Si tu coche tiene dirección asistida hidráulica o electrohidráulica, deberás comprobar (al menos una vez al año) el líquido de la dirección.</w:t>
      </w:r>
    </w:p>
    <w:p w:rsidR="000009C1" w:rsidRPr="000009C1" w:rsidRDefault="000009C1" w:rsidP="000009C1">
      <w:pPr>
        <w:jc w:val="both"/>
      </w:pPr>
    </w:p>
    <w:p w:rsidR="000009C1" w:rsidRDefault="000009C1" w:rsidP="000009C1">
      <w:pPr>
        <w:jc w:val="both"/>
      </w:pPr>
    </w:p>
    <w:p w:rsidR="00B432F4" w:rsidRPr="000009C1" w:rsidRDefault="00C90BC1" w:rsidP="000009C1">
      <w:pPr>
        <w:jc w:val="both"/>
      </w:pPr>
      <w:r>
        <w:lastRenderedPageBreak/>
        <w:t>IDENTIFICAR TAPAS Y DEPOSITOS QUE HAY DEBAJO DEL CAPO DE UN VEHICULO</w:t>
      </w:r>
      <w:r w:rsidR="002C68AD">
        <w:t xml:space="preserve"> </w:t>
      </w:r>
      <w:r>
        <w:t xml:space="preserve"> </w:t>
      </w:r>
      <w:proofErr w:type="gramStart"/>
      <w:r w:rsidR="002C68AD">
        <w:t>( 2pto</w:t>
      </w:r>
      <w:proofErr w:type="gramEnd"/>
      <w:r w:rsidR="002C68AD">
        <w:t xml:space="preserve"> c/u)</w:t>
      </w:r>
    </w:p>
    <w:p w:rsidR="000009C1" w:rsidRPr="000009C1" w:rsidRDefault="00B432F4" w:rsidP="000009C1">
      <w:r w:rsidRPr="00B432F4">
        <w:rPr>
          <w:noProof/>
          <w:lang w:eastAsia="es-CL"/>
        </w:rPr>
        <w:drawing>
          <wp:inline distT="0" distB="0" distL="0" distR="0" wp14:anchorId="7FE9E389" wp14:editId="4ACB0903">
            <wp:extent cx="2646484" cy="1723292"/>
            <wp:effectExtent l="0" t="0" r="1905" b="0"/>
            <wp:docPr id="3" name="Imagen 3" descr="Tapa Del Aceite Del Motor En Un Vehículo De Motor Fotos, Retr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pa Del Aceite Del Motor En Un Vehículo De Motor Fotos, Retrato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9639" cy="1725346"/>
                    </a:xfrm>
                    <a:prstGeom prst="rect">
                      <a:avLst/>
                    </a:prstGeom>
                    <a:noFill/>
                    <a:ln>
                      <a:noFill/>
                    </a:ln>
                  </pic:spPr>
                </pic:pic>
              </a:graphicData>
            </a:graphic>
          </wp:inline>
        </w:drawing>
      </w:r>
      <w:r w:rsidR="00C90BC1">
        <w:t xml:space="preserve">    </w:t>
      </w:r>
      <w:r w:rsidR="00C90BC1" w:rsidRPr="00C90BC1">
        <w:rPr>
          <w:noProof/>
          <w:lang w:eastAsia="es-CL"/>
        </w:rPr>
        <w:drawing>
          <wp:inline distT="0" distB="0" distL="0" distR="0" wp14:anchorId="6A8B1078" wp14:editId="7403B0D2">
            <wp:extent cx="2699238" cy="1802423"/>
            <wp:effectExtent l="0" t="0" r="6350" b="7620"/>
            <wp:docPr id="4" name="Imagen 4" descr="Parabrisas | La importancia del líquido refrige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abrisas | La importancia del líquido refrigera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760" cy="1803439"/>
                    </a:xfrm>
                    <a:prstGeom prst="rect">
                      <a:avLst/>
                    </a:prstGeom>
                    <a:noFill/>
                    <a:ln>
                      <a:noFill/>
                    </a:ln>
                  </pic:spPr>
                </pic:pic>
              </a:graphicData>
            </a:graphic>
          </wp:inline>
        </w:drawing>
      </w:r>
    </w:p>
    <w:tbl>
      <w:tblPr>
        <w:tblStyle w:val="Tablaconcuadrcula"/>
        <w:tblpPr w:leftFromText="141" w:rightFromText="141" w:vertAnchor="text" w:tblpY="1"/>
        <w:tblOverlap w:val="never"/>
        <w:tblW w:w="0" w:type="auto"/>
        <w:tblLook w:val="04A0" w:firstRow="1" w:lastRow="0" w:firstColumn="1" w:lastColumn="0" w:noHBand="0" w:noVBand="1"/>
      </w:tblPr>
      <w:tblGrid>
        <w:gridCol w:w="4077"/>
      </w:tblGrid>
      <w:tr w:rsidR="00C90BC1" w:rsidTr="00C90BC1">
        <w:tc>
          <w:tcPr>
            <w:tcW w:w="4077" w:type="dxa"/>
          </w:tcPr>
          <w:p w:rsidR="00C90BC1" w:rsidRDefault="00C90BC1" w:rsidP="00C90BC1"/>
        </w:tc>
      </w:tr>
    </w:tbl>
    <w:tbl>
      <w:tblPr>
        <w:tblStyle w:val="Tablaconcuadrcula"/>
        <w:tblW w:w="0" w:type="auto"/>
        <w:tblInd w:w="392" w:type="dxa"/>
        <w:tblLook w:val="04A0" w:firstRow="1" w:lastRow="0" w:firstColumn="1" w:lastColumn="0" w:noHBand="0" w:noVBand="1"/>
      </w:tblPr>
      <w:tblGrid>
        <w:gridCol w:w="4111"/>
      </w:tblGrid>
      <w:tr w:rsidR="00C90BC1" w:rsidTr="00C90BC1">
        <w:tc>
          <w:tcPr>
            <w:tcW w:w="4111" w:type="dxa"/>
          </w:tcPr>
          <w:p w:rsidR="00C90BC1" w:rsidRDefault="00C90BC1" w:rsidP="00F704B1"/>
        </w:tc>
      </w:tr>
    </w:tbl>
    <w:p w:rsidR="00C90BC1" w:rsidRDefault="00C90BC1" w:rsidP="00F704B1"/>
    <w:p w:rsidR="007B5934" w:rsidRDefault="007B5934" w:rsidP="00F704B1">
      <w:r w:rsidRPr="007B5934">
        <w:rPr>
          <w:noProof/>
          <w:lang w:eastAsia="es-CL"/>
        </w:rPr>
        <w:drawing>
          <wp:inline distT="0" distB="0" distL="0" distR="0">
            <wp:extent cx="2646484" cy="1934308"/>
            <wp:effectExtent l="0" t="0" r="1905" b="8890"/>
            <wp:docPr id="5" name="Imagen 5" descr="Qué hay debajo del capó de un 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é hay debajo del capó de un coche?"/>
                    <pic:cNvPicPr>
                      <a:picLocks noChangeAspect="1" noChangeArrowheads="1"/>
                    </pic:cNvPicPr>
                  </pic:nvPicPr>
                  <pic:blipFill rotWithShape="1">
                    <a:blip r:embed="rId11">
                      <a:extLst>
                        <a:ext uri="{28A0092B-C50C-407E-A947-70E740481C1C}">
                          <a14:useLocalDpi xmlns:a14="http://schemas.microsoft.com/office/drawing/2010/main" val="0"/>
                        </a:ext>
                      </a:extLst>
                    </a:blip>
                    <a:srcRect r="30533"/>
                    <a:stretch/>
                  </pic:blipFill>
                  <pic:spPr bwMode="auto">
                    <a:xfrm>
                      <a:off x="0" y="0"/>
                      <a:ext cx="2646514" cy="193433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7B5934">
        <w:rPr>
          <w:noProof/>
          <w:lang w:eastAsia="es-CL"/>
        </w:rPr>
        <w:drawing>
          <wp:inline distT="0" distB="0" distL="0" distR="0" wp14:anchorId="161DEEA1" wp14:editId="15586038">
            <wp:extent cx="2497015" cy="1943100"/>
            <wp:effectExtent l="0" t="0" r="0" b="0"/>
            <wp:docPr id="6" name="Imagen 6" descr="Revisa si tu vehículo pierde líquido de fr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visa si tu vehículo pierde líquido de fre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8189" cy="1944014"/>
                    </a:xfrm>
                    <a:prstGeom prst="rect">
                      <a:avLst/>
                    </a:prstGeom>
                    <a:noFill/>
                    <a:ln>
                      <a:noFill/>
                    </a:ln>
                  </pic:spPr>
                </pic:pic>
              </a:graphicData>
            </a:graphic>
          </wp:inline>
        </w:drawing>
      </w:r>
    </w:p>
    <w:tbl>
      <w:tblPr>
        <w:tblStyle w:val="Tablaconcuadrcula"/>
        <w:tblpPr w:leftFromText="141" w:rightFromText="141" w:vertAnchor="text" w:tblpX="250" w:tblpY="1"/>
        <w:tblOverlap w:val="never"/>
        <w:tblW w:w="0" w:type="auto"/>
        <w:tblLook w:val="04A0" w:firstRow="1" w:lastRow="0" w:firstColumn="1" w:lastColumn="0" w:noHBand="0" w:noVBand="1"/>
      </w:tblPr>
      <w:tblGrid>
        <w:gridCol w:w="3544"/>
      </w:tblGrid>
      <w:tr w:rsidR="007B5934" w:rsidTr="007B5934">
        <w:tc>
          <w:tcPr>
            <w:tcW w:w="3544" w:type="dxa"/>
          </w:tcPr>
          <w:p w:rsidR="007B5934" w:rsidRDefault="007B5934" w:rsidP="007B5934"/>
        </w:tc>
      </w:tr>
    </w:tbl>
    <w:tbl>
      <w:tblPr>
        <w:tblStyle w:val="Tablaconcuadrcula"/>
        <w:tblpPr w:leftFromText="141" w:rightFromText="141" w:vertAnchor="text" w:horzAnchor="page" w:tblpX="6220" w:tblpY="55"/>
        <w:tblW w:w="0" w:type="auto"/>
        <w:tblLook w:val="04A0" w:firstRow="1" w:lastRow="0" w:firstColumn="1" w:lastColumn="0" w:noHBand="0" w:noVBand="1"/>
      </w:tblPr>
      <w:tblGrid>
        <w:gridCol w:w="3794"/>
      </w:tblGrid>
      <w:tr w:rsidR="007B5934" w:rsidTr="007B5934">
        <w:tc>
          <w:tcPr>
            <w:tcW w:w="3794" w:type="dxa"/>
          </w:tcPr>
          <w:p w:rsidR="007B5934" w:rsidRDefault="007B5934" w:rsidP="007B5934"/>
        </w:tc>
      </w:tr>
    </w:tbl>
    <w:p w:rsidR="007B5934" w:rsidRDefault="007B5934" w:rsidP="00F704B1">
      <w:r>
        <w:t xml:space="preserve">          </w:t>
      </w:r>
    </w:p>
    <w:p w:rsidR="000009C1" w:rsidRDefault="007B5934" w:rsidP="00F704B1">
      <w:r>
        <w:br w:type="textWrapping" w:clear="all"/>
        <w:t xml:space="preserve">      </w:t>
      </w:r>
      <w:r w:rsidRPr="007B5934">
        <w:rPr>
          <w:noProof/>
          <w:lang w:eastAsia="es-CL"/>
        </w:rPr>
        <w:drawing>
          <wp:inline distT="0" distB="0" distL="0" distR="0">
            <wp:extent cx="2461846" cy="1494692"/>
            <wp:effectExtent l="0" t="0" r="0" b="0"/>
            <wp:docPr id="7" name="Imagen 7" descr="Guía definitiva. Cómo revisar los niveles de tu c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uía definitiva. Cómo revisar los niveles de tu coch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1799" cy="1500735"/>
                    </a:xfrm>
                    <a:prstGeom prst="rect">
                      <a:avLst/>
                    </a:prstGeom>
                    <a:noFill/>
                    <a:ln>
                      <a:noFill/>
                    </a:ln>
                  </pic:spPr>
                </pic:pic>
              </a:graphicData>
            </a:graphic>
          </wp:inline>
        </w:drawing>
      </w:r>
      <w:r w:rsidR="002C68AD">
        <w:t xml:space="preserve">  </w:t>
      </w:r>
      <w:r w:rsidR="002C68AD" w:rsidRPr="002C68AD">
        <w:rPr>
          <w:noProof/>
          <w:lang w:eastAsia="es-CL"/>
        </w:rPr>
        <w:drawing>
          <wp:inline distT="0" distB="0" distL="0" distR="0">
            <wp:extent cx="2576146" cy="1494691"/>
            <wp:effectExtent l="0" t="0" r="0" b="0"/>
            <wp:docPr id="8" name="Imagen 8" descr="Cómo verificar el nivel de aceite del embrague: 14 P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ómo verificar el nivel de aceite del embrague: 14 Pas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6005" cy="1494609"/>
                    </a:xfrm>
                    <a:prstGeom prst="rect">
                      <a:avLst/>
                    </a:prstGeom>
                    <a:noFill/>
                    <a:ln>
                      <a:noFill/>
                    </a:ln>
                  </pic:spPr>
                </pic:pic>
              </a:graphicData>
            </a:graphic>
          </wp:inline>
        </w:drawing>
      </w:r>
      <w:r w:rsidR="00C90BC1">
        <w:br w:type="textWrapping" w:clear="all"/>
      </w:r>
    </w:p>
    <w:tbl>
      <w:tblPr>
        <w:tblStyle w:val="Tablaconcuadrcula"/>
        <w:tblpPr w:leftFromText="141" w:rightFromText="141" w:vertAnchor="text" w:tblpY="1"/>
        <w:tblOverlap w:val="never"/>
        <w:tblW w:w="0" w:type="auto"/>
        <w:tblInd w:w="392" w:type="dxa"/>
        <w:tblLook w:val="04A0" w:firstRow="1" w:lastRow="0" w:firstColumn="1" w:lastColumn="0" w:noHBand="0" w:noVBand="1"/>
      </w:tblPr>
      <w:tblGrid>
        <w:gridCol w:w="3402"/>
      </w:tblGrid>
      <w:tr w:rsidR="002C68AD" w:rsidTr="002C68AD">
        <w:tc>
          <w:tcPr>
            <w:tcW w:w="3402" w:type="dxa"/>
          </w:tcPr>
          <w:p w:rsidR="002C68AD" w:rsidRDefault="002C68AD" w:rsidP="002C68AD"/>
        </w:tc>
      </w:tr>
    </w:tbl>
    <w:tbl>
      <w:tblPr>
        <w:tblStyle w:val="Tablaconcuadrcula"/>
        <w:tblpPr w:leftFromText="141" w:rightFromText="141" w:vertAnchor="text" w:horzAnchor="page" w:tblpX="6017" w:tblpY="31"/>
        <w:tblW w:w="0" w:type="auto"/>
        <w:tblLook w:val="04A0" w:firstRow="1" w:lastRow="0" w:firstColumn="1" w:lastColumn="0" w:noHBand="0" w:noVBand="1"/>
      </w:tblPr>
      <w:tblGrid>
        <w:gridCol w:w="4077"/>
      </w:tblGrid>
      <w:tr w:rsidR="002C68AD" w:rsidTr="002C68AD">
        <w:tc>
          <w:tcPr>
            <w:tcW w:w="4077" w:type="dxa"/>
          </w:tcPr>
          <w:p w:rsidR="002C68AD" w:rsidRDefault="002C68AD" w:rsidP="002C68AD"/>
        </w:tc>
      </w:tr>
    </w:tbl>
    <w:p w:rsidR="00F704B1" w:rsidRPr="00F704B1" w:rsidRDefault="00883B8B" w:rsidP="00F704B1">
      <w:r>
        <w:t xml:space="preserve">         </w:t>
      </w:r>
    </w:p>
    <w:p w:rsidR="00F704B1" w:rsidRPr="00F704B1" w:rsidRDefault="00F704B1" w:rsidP="00F704B1"/>
    <w:p w:rsidR="00F704B1" w:rsidRDefault="00F704B1"/>
    <w:sectPr w:rsidR="00F704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B1"/>
    <w:rsid w:val="000009C1"/>
    <w:rsid w:val="002C68AD"/>
    <w:rsid w:val="00517A98"/>
    <w:rsid w:val="007B5934"/>
    <w:rsid w:val="008355C0"/>
    <w:rsid w:val="00883B8B"/>
    <w:rsid w:val="00AD3AE5"/>
    <w:rsid w:val="00B432F4"/>
    <w:rsid w:val="00C90BC1"/>
    <w:rsid w:val="00F70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04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4B1"/>
    <w:rPr>
      <w:rFonts w:ascii="Tahoma" w:hAnsi="Tahoma" w:cs="Tahoma"/>
      <w:sz w:val="16"/>
      <w:szCs w:val="16"/>
    </w:rPr>
  </w:style>
  <w:style w:type="character" w:styleId="Hipervnculo">
    <w:name w:val="Hyperlink"/>
    <w:basedOn w:val="Fuentedeprrafopredeter"/>
    <w:uiPriority w:val="99"/>
    <w:unhideWhenUsed/>
    <w:rsid w:val="00F704B1"/>
    <w:rPr>
      <w:color w:val="0000FF" w:themeColor="hyperlink"/>
      <w:u w:val="single"/>
    </w:rPr>
  </w:style>
  <w:style w:type="table" w:styleId="Tablaconcuadrcula">
    <w:name w:val="Table Grid"/>
    <w:basedOn w:val="Tablanormal"/>
    <w:uiPriority w:val="59"/>
    <w:rsid w:val="00C9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04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4B1"/>
    <w:rPr>
      <w:rFonts w:ascii="Tahoma" w:hAnsi="Tahoma" w:cs="Tahoma"/>
      <w:sz w:val="16"/>
      <w:szCs w:val="16"/>
    </w:rPr>
  </w:style>
  <w:style w:type="character" w:styleId="Hipervnculo">
    <w:name w:val="Hyperlink"/>
    <w:basedOn w:val="Fuentedeprrafopredeter"/>
    <w:uiPriority w:val="99"/>
    <w:unhideWhenUsed/>
    <w:rsid w:val="00F704B1"/>
    <w:rPr>
      <w:color w:val="0000FF" w:themeColor="hyperlink"/>
      <w:u w:val="single"/>
    </w:rPr>
  </w:style>
  <w:style w:type="table" w:styleId="Tablaconcuadrcula">
    <w:name w:val="Table Grid"/>
    <w:basedOn w:val="Tablanormal"/>
    <w:uiPriority w:val="59"/>
    <w:rsid w:val="00C90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723">
      <w:bodyDiv w:val="1"/>
      <w:marLeft w:val="0"/>
      <w:marRight w:val="0"/>
      <w:marTop w:val="0"/>
      <w:marBottom w:val="0"/>
      <w:divBdr>
        <w:top w:val="none" w:sz="0" w:space="0" w:color="auto"/>
        <w:left w:val="none" w:sz="0" w:space="0" w:color="auto"/>
        <w:bottom w:val="none" w:sz="0" w:space="0" w:color="auto"/>
        <w:right w:val="none" w:sz="0" w:space="0" w:color="auto"/>
      </w:divBdr>
    </w:div>
    <w:div w:id="495875269">
      <w:bodyDiv w:val="1"/>
      <w:marLeft w:val="0"/>
      <w:marRight w:val="0"/>
      <w:marTop w:val="0"/>
      <w:marBottom w:val="0"/>
      <w:divBdr>
        <w:top w:val="none" w:sz="0" w:space="0" w:color="auto"/>
        <w:left w:val="none" w:sz="0" w:space="0" w:color="auto"/>
        <w:bottom w:val="none" w:sz="0" w:space="0" w:color="auto"/>
        <w:right w:val="none" w:sz="0" w:space="0" w:color="auto"/>
      </w:divBdr>
    </w:div>
    <w:div w:id="537740076">
      <w:bodyDiv w:val="1"/>
      <w:marLeft w:val="0"/>
      <w:marRight w:val="0"/>
      <w:marTop w:val="0"/>
      <w:marBottom w:val="0"/>
      <w:divBdr>
        <w:top w:val="none" w:sz="0" w:space="0" w:color="auto"/>
        <w:left w:val="none" w:sz="0" w:space="0" w:color="auto"/>
        <w:bottom w:val="none" w:sz="0" w:space="0" w:color="auto"/>
        <w:right w:val="none" w:sz="0" w:space="0" w:color="auto"/>
      </w:divBdr>
    </w:div>
    <w:div w:id="831800721">
      <w:bodyDiv w:val="1"/>
      <w:marLeft w:val="0"/>
      <w:marRight w:val="0"/>
      <w:marTop w:val="0"/>
      <w:marBottom w:val="0"/>
      <w:divBdr>
        <w:top w:val="none" w:sz="0" w:space="0" w:color="auto"/>
        <w:left w:val="none" w:sz="0" w:space="0" w:color="auto"/>
        <w:bottom w:val="none" w:sz="0" w:space="0" w:color="auto"/>
        <w:right w:val="none" w:sz="0" w:space="0" w:color="auto"/>
      </w:divBdr>
    </w:div>
    <w:div w:id="9263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tor.elpais.com/actualidad/limpiar-el-coche-con-vinagre/"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motor.elpais.com/actualidad/cambiar-el-aceite/" TargetMode="External"/><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4</cp:revision>
  <dcterms:created xsi:type="dcterms:W3CDTF">2020-06-05T20:45:00Z</dcterms:created>
  <dcterms:modified xsi:type="dcterms:W3CDTF">2020-06-11T00:31:00Z</dcterms:modified>
</cp:coreProperties>
</file>