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D6" w:rsidRDefault="00CF65D6" w:rsidP="00CF65D6">
      <w:pPr>
        <w:pStyle w:val="Ttulo1"/>
        <w:jc w:val="center"/>
        <w:rPr>
          <w:lang w:val="es-MX"/>
        </w:rPr>
      </w:pPr>
      <w:bookmarkStart w:id="0" w:name="_GoBack"/>
      <w:bookmarkEnd w:id="0"/>
      <w:r>
        <w:rPr>
          <w:lang w:val="es-MX"/>
        </w:rPr>
        <w:t xml:space="preserve">Guía N°: Tercero medio </w:t>
      </w:r>
      <w:r w:rsidR="00124E63">
        <w:rPr>
          <w:lang w:val="es-MX"/>
        </w:rPr>
        <w:t>Conectividad y redes</w:t>
      </w:r>
      <w:r>
        <w:rPr>
          <w:lang w:val="es-MX"/>
        </w:rPr>
        <w:t>, Geografía</w:t>
      </w:r>
      <w:r w:rsidRPr="00CF65D6">
        <w:rPr>
          <w:lang w:val="es-MX"/>
        </w:rPr>
        <w:t>, territorio y desafíos socio- ambientales</w:t>
      </w:r>
    </w:p>
    <w:p w:rsidR="007E5A64" w:rsidRDefault="00163884" w:rsidP="00163884">
      <w:pPr>
        <w:pStyle w:val="Ttulo1"/>
        <w:rPr>
          <w:lang w:val="es-MX"/>
        </w:rPr>
      </w:pPr>
      <w:r w:rsidRPr="00163884">
        <w:rPr>
          <w:lang w:val="es-MX"/>
        </w:rPr>
        <w:t>Unidad 1: Evaluación crítica de los procesos políticos de la historia reciente latinoamericana.</w:t>
      </w:r>
    </w:p>
    <w:p w:rsidR="00163884" w:rsidRDefault="00163884" w:rsidP="00163884">
      <w:pPr>
        <w:jc w:val="both"/>
        <w:rPr>
          <w:lang w:val="es-MX"/>
        </w:rPr>
      </w:pPr>
      <w:r w:rsidRPr="00163884">
        <w:rPr>
          <w:lang w:val="es-MX"/>
        </w:rPr>
        <w:t>OA 1 Analizar procesos sociales y culturales recientes de Chile y América Latina tales como migraciones, cambios demográficos y urbanización, considerando avances y desafíos comunes en materia de equidad, diversidad e interculturalidad.</w:t>
      </w:r>
    </w:p>
    <w:p w:rsidR="00163884" w:rsidRDefault="00163884" w:rsidP="00163884">
      <w:pPr>
        <w:pStyle w:val="Prrafodelista"/>
        <w:numPr>
          <w:ilvl w:val="0"/>
          <w:numId w:val="2"/>
        </w:numPr>
        <w:jc w:val="both"/>
        <w:rPr>
          <w:b/>
          <w:lang w:val="es-MX"/>
        </w:rPr>
      </w:pPr>
      <w:r w:rsidRPr="00163884">
        <w:rPr>
          <w:b/>
          <w:lang w:val="es-MX"/>
        </w:rPr>
        <w:t>Analizar las fuentes guiados por la interrogante:</w:t>
      </w:r>
    </w:p>
    <w:p w:rsidR="00CF65D6" w:rsidRPr="00CF65D6" w:rsidRDefault="00CF65D6" w:rsidP="00163884">
      <w:pPr>
        <w:jc w:val="both"/>
        <w:rPr>
          <w:b/>
          <w:lang w:val="es-MX"/>
        </w:rPr>
      </w:pPr>
      <w:r>
        <w:rPr>
          <w:b/>
          <w:lang w:val="es-MX"/>
        </w:rPr>
        <w:t xml:space="preserve">Recurso 1 </w:t>
      </w:r>
      <w:r w:rsidR="00163884" w:rsidRPr="00CF65D6">
        <w:rPr>
          <w:b/>
          <w:lang w:val="es-MX"/>
        </w:rPr>
        <w:t xml:space="preserve">América Latina: </w:t>
      </w:r>
    </w:p>
    <w:p w:rsidR="00163884" w:rsidRDefault="00163884" w:rsidP="00163884">
      <w:pPr>
        <w:jc w:val="both"/>
        <w:rPr>
          <w:lang w:val="es-MX"/>
        </w:rPr>
      </w:pPr>
      <w:r w:rsidRPr="00163884">
        <w:rPr>
          <w:lang w:val="es-MX"/>
        </w:rPr>
        <w:t>identidad y diversidad cultural El concepto de Nación fue acuñado en Europa. En sus orígenes, esto es en los primeros siglos de la Edad Media, careció de connotaciones políticas y más bien aludía al origen de las personas y los pueblos. Se hablaba así de la “nación inglesa”, de la “nación francesa”, etc. La escisión de la Cristiandad hacia el Siglo XVI por efecto de la Reforma protestante, más la crisis de los poderes imperiales, desembocó en el surgimiento en una serie de “naciones”, esta vez vinculadas políticamente a centros de poder encarnados en los príncipes. La Más tarde, y por obra de la Revolución francesa, surge el concepto de soberanía nacional asumida por el propio pueblo frente a la soberanía de los reyes. La colectividad nacional soberana es desde entonces identificada con la universalidad de los ciudadanos. Como puede verse, el surgimiento del “Estado-Nación” fue en Europa el producto de un largo y lento proceso histórico, en el cual el Estado, entidad jurídica, se ajustó a la Nación, fenómeno de carácter socio-cultural. En cambio, en nuestro continente, las Naciones surgieron como consecuencia de la acción de los próceres y caudillos de la Independencia. Algunos “estados-naciones”, como Bolivia, por ejemplo, fueron el producto de la voluntad de un líder (en este caso, del propio Libertador Simón Bolívar) o del fraccionamiento provocado por los localismos (Sarmiento decía que en Centroamérica hicimos una República de cada aldea). Pero mientras en Europa el Estado se acopló a la Nación, en América Latina el Estado se creó antes que la Nación estuviera plenamente forjada. Y esto no sólo es válido en relación con nuestros “estados-naciones”, sino también en relación con la llamada “nacionalidad latinoamericana”, que en todo caso es un concepto en proceso de formación. No debe, entonces, extrañarnos que haya quienes se pregunten si América Latina es un mito o una realidad. ¿Tienen validez los análisis y las afirmaciones de carácter global, referidas a una región donde abundan las diversidades y contrastes?</w:t>
      </w:r>
    </w:p>
    <w:p w:rsidR="00163884" w:rsidRDefault="00163884" w:rsidP="00163884">
      <w:pPr>
        <w:jc w:val="both"/>
        <w:rPr>
          <w:lang w:val="es-MX"/>
        </w:rPr>
      </w:pPr>
      <w:r w:rsidRPr="00163884">
        <w:rPr>
          <w:lang w:val="es-MX"/>
        </w:rPr>
        <w:t xml:space="preserve">La expresión América Latina comprende una realidad sumamente compleja, donde se dan casi por igual las diversidades y similitudes. De ahí que, si se pone el acento en las diferencias y regionalismos, es posible negar la existencia de América Latina y de la unidad esencial que brota de su misma diversidad. Si seguimos esa línea, se llega a afirmar que no existe una América Latina, sino tantas como países o subregiones la componen, por lo que cualquier pretensión de reducirla a una sola entidad no es más que aceptar, a sabiendas, un mito o una ficción. Nuestro continente ni siquiera ha sido conocido con el mismo nombre en el decurso de su historia. Sus distintas denominaciones han respondido más a las aspiraciones de las potencias que siempre codiciaron </w:t>
      </w:r>
      <w:r w:rsidRPr="00163884">
        <w:rPr>
          <w:lang w:val="es-MX"/>
        </w:rPr>
        <w:lastRenderedPageBreak/>
        <w:t xml:space="preserve">más sus tierras y riquezas que las suyas propias. “Las Indias”, designación popular en el siglo XVI, debe su existencia, nos recuerda John L. </w:t>
      </w:r>
      <w:proofErr w:type="spellStart"/>
      <w:r w:rsidRPr="00163884">
        <w:rPr>
          <w:lang w:val="es-MX"/>
        </w:rPr>
        <w:t>Phelan</w:t>
      </w:r>
      <w:proofErr w:type="spellEnd"/>
      <w:r w:rsidRPr="00163884">
        <w:rPr>
          <w:lang w:val="es-MX"/>
        </w:rPr>
        <w:t>, al sueño de Colón de llegar al Asia de Marco Polo. En el pensamiento del historiador franciscano Gerónimo de Mendieta, el otro nombre para las Indias en el siglo XVI, el Nuevo Mundo, tenía sus connotaciones bastantes precisas. Para Mendieta y algunos de sus colegas misioneros, América era sin duda un “nuevo mundo” en el cual la cristiandad del viejo mundo podía ser perfeccionada entre indios sencillos e inocentes. Como se sabe, el término América no llegó a ser común sino hasta el siglo XVII. La acuñación de este nuevo nombre, por gentes no hispánicas de Europa, fue un desafío al monopolio español de las tierras y las riquezas del Nuevo Mundo. En cuanto a la expresión “</w:t>
      </w:r>
      <w:proofErr w:type="spellStart"/>
      <w:r w:rsidRPr="00163884">
        <w:rPr>
          <w:lang w:val="es-MX"/>
        </w:rPr>
        <w:t>L’Amérique</w:t>
      </w:r>
      <w:proofErr w:type="spellEnd"/>
      <w:r w:rsidRPr="00163884">
        <w:rPr>
          <w:lang w:val="es-MX"/>
        </w:rPr>
        <w:t xml:space="preserve"> latine”, ésta no fue creada de la nada. “Latinoamérica” fue concebida en Francia durante la década de 1860, como un programa de acción para incorporar el papel y las aspiraciones de Francia hacia la población hispánica del Nuevo Mundo. Una de las denominaciones, América, le ha sido arrebatada por los Estados Unidos, no obstante que le correspondía con mayor propiedad. “Para franceses e ingleses del siglo XVIII, dice Arturo Uslar Pietri, Benjamín Franklin era el americano y en cambio un hombre como Francisco de Miranda, que podría encarnar con mejores títulos la realidad del nuevo mundo, era un criollo, un habitante de la Tierra Firme, o un exótico indiano” ... A su vez, la expresión Hispanoamericana, nos trae reminiscencias del antiguo imperio español. El concepto de “hispanidad” fue promovido por intelectuales de la España franquista. El término América Latina merece consideración especial, desde luego que es hoy día el más utilizado. Vimos antes que su origen se halla ligado a la expansión capitalista de Francia: fue acuñado por los teóricos del Segundo Imperio de Napoleón III para justificar las intenciones de Francia de servirse de las materias primas y mercados de una región cuya “latinidad” se consideraba suficiente título para reservar a Francia, y no a las potencias anglosajonas, sus posibilidades neocoloniales. Aunque el término haya sido inventado por otros, a los latinoamericanos nos corresponde “inventar” su contenido y darle nuestra propia significación. Si la intención de quienes lo crearon fue subrayar nuestra dependencia y definirla como zona neocolonial del continente, nuestro desafío consiste en utilizar el concepto como expresión de un nuevo nacionalismo que venga a fortalecer la unidad de nuestros pueblos. Al proponernos esta tarea, no haríamos sino retomar los ideales que inspiraron a nuestros próceres, para quienes la idea de americanidad precedía a la de los particularismos nacionalistas. Jamás existió entre nosotros una conciencia más profunda de unidad que en la época de la Independencia. Bolívar nunca pensó que su misión era liberar únicamente a Venezuela o a la antigua Nueva Granada. “Para nosotros, había dicho, la Patria es América”. Y es Bolívar quien mejor encarna esa conciencia a través de su incomparable gesta libertadora y de su malogrado sueño de la Liga o Confederación Americana. Desafortunadamente, prevalecieron los separatismos, inspirados por las clases dominantes, que jamás vieron con simpatía el grandioso proyecto de Bolívar. La ideología democrática y liberal que lo inspiraba era contraria a los intereses de las oligarquías criollas, más preocupadas en conservar sus privilegios locales. A pesar de más de siglo y medio que llevan nuestros países en ensayar, aislados los unos de los otros, su propia vida independiente, la Nación latinoamericana, “subyacente en la raíz de nuestros Estados Modernos, persiste como fuerza vital y realidad profunda”. Aun reconociendo las diferencias, a veces abismales, que se dan entre nuestros países, no cabe hoy día negar la existencia de América Latina como entidad ni las posibilidades que encierra su unidad esencial. Tampoco es válido aceptar su existencia como simple ficción.</w:t>
      </w:r>
    </w:p>
    <w:p w:rsidR="00163884" w:rsidRPr="00163884" w:rsidRDefault="00163884" w:rsidP="00163884">
      <w:pPr>
        <w:jc w:val="both"/>
        <w:rPr>
          <w:lang w:val="es-MX"/>
        </w:rPr>
      </w:pPr>
      <w:r w:rsidRPr="00163884">
        <w:rPr>
          <w:lang w:val="es-MX"/>
        </w:rPr>
        <w:lastRenderedPageBreak/>
        <w:t xml:space="preserve">Por el lado del futuro es donde más cabe afirmar su identidad y unidad, en lo que éste tiene de promisorio para una región en busca de un destino común. Este es el criterio de quienes como </w:t>
      </w:r>
      <w:proofErr w:type="spellStart"/>
      <w:r w:rsidRPr="00163884">
        <w:rPr>
          <w:lang w:val="es-MX"/>
        </w:rPr>
        <w:t>Darcy</w:t>
      </w:r>
      <w:proofErr w:type="spellEnd"/>
      <w:r w:rsidRPr="00163884">
        <w:rPr>
          <w:lang w:val="es-MX"/>
        </w:rPr>
        <w:t xml:space="preserve"> Ribeiro han examinado, desde distintos ángulos, las posibilidades de una América Latina integrada o integrable: “Latinoamérica, afirma Ribeiro, más que una entidad sociocultural diferenciada y congruente, es una vocación, una promesa. Lo que le confiere identidad es fundamentalmente el hecho de ser el producto -tal como se presenta actualmente- de un proceso común de formación que está en curso y que puede, eventualmente, conducir a un congraciamiento futuro de las naciones latinoamericanas en una entidad sociopolítica integrada”.</w:t>
      </w:r>
    </w:p>
    <w:p w:rsidR="00163884" w:rsidRPr="00163884" w:rsidRDefault="00163884" w:rsidP="00163884">
      <w:pPr>
        <w:jc w:val="both"/>
        <w:rPr>
          <w:lang w:val="es-MX"/>
        </w:rPr>
      </w:pPr>
      <w:r w:rsidRPr="00163884">
        <w:rPr>
          <w:lang w:val="es-MX"/>
        </w:rPr>
        <w:t>El hecho de que nuestra unidad se afinque más en el futuro que en el pasado, no significa desdén por nuestra historia ni adhesión a la actitud de querer vivir en el futuro y no en el presente. En realidad, sólo apoyándonos en nuestro pasado, sin negarlo sea cual fuere, es que podremos construir nuestro futuro con los materiales del presente. Construirlo día a día, no simplemente esperarlo. Negar el pasado es como negarnos a nosotros mismos. Sin él dejamos de ser lo que realmente somos, sin llegar a ser tampoco algo distinto.</w:t>
      </w:r>
    </w:p>
    <w:p w:rsidR="00163884" w:rsidRPr="00163884" w:rsidRDefault="00163884" w:rsidP="00163884">
      <w:pPr>
        <w:jc w:val="both"/>
        <w:rPr>
          <w:lang w:val="es-MX"/>
        </w:rPr>
      </w:pPr>
      <w:r w:rsidRPr="00163884">
        <w:rPr>
          <w:lang w:val="es-MX"/>
        </w:rPr>
        <w:t>La construcción de nuestro futuro tiene como condición sine qua non un compromiso de autenticidad, en el sentido de que debemos hacer frente a tan extraordinaria empresa partiendo de nosotros mismos: lo que hemos sido, lo que somos y lo que podemos ser, gracias a los esfuerzos de nuestros propios pueblos. Es el ideal de autenticidad, de que nos habla Francisco Miró Quesada, y que comenzó a prender en la conciencia de los latinoamericanos, al comprobar el carácter inauténtico de nuestra cultura: “Al darse cuenta de que no es auténtico, el latinoamericano quiere ser auténtico, al comprender que su mundo es una mera copia comprende también que jamás podría resignarse a vivir en él y decide transformarlo en un mundo real y verdadero, capaz de crear de acuerdo con sus propias pautas y sus propios valores”. Sólo así podrá encontrar su propio destino, que es la plenitud del hombre: “la autenticidad de América Latina consiste en el reconocimiento humano, en la liberación. Este proceso entrañará la originalidad creadora, la verdad cultural en todos los campos” ... “Al afirmar su propio ser, al reconocer el valor de su humanidad por el sólo hecho de poseer la condición humana, América Latina descubre su realidad profunda”.</w:t>
      </w:r>
    </w:p>
    <w:p w:rsidR="00163884" w:rsidRDefault="00163884" w:rsidP="00163884">
      <w:pPr>
        <w:jc w:val="both"/>
        <w:rPr>
          <w:lang w:val="es-MX"/>
        </w:rPr>
      </w:pPr>
      <w:r w:rsidRPr="00163884">
        <w:rPr>
          <w:lang w:val="es-MX"/>
        </w:rPr>
        <w:t xml:space="preserve">Afirmándonos en nosotros mismos es </w:t>
      </w:r>
      <w:proofErr w:type="spellStart"/>
      <w:r w:rsidRPr="00163884">
        <w:rPr>
          <w:lang w:val="es-MX"/>
        </w:rPr>
        <w:t>como</w:t>
      </w:r>
      <w:proofErr w:type="spellEnd"/>
      <w:r w:rsidRPr="00163884">
        <w:rPr>
          <w:lang w:val="es-MX"/>
        </w:rPr>
        <w:t xml:space="preserve"> podemos llegar a ser auténticos y transformar la denominación que en un principio sirvió para diferenciarnos y atribuirnos el carácter de </w:t>
      </w:r>
      <w:proofErr w:type="spellStart"/>
      <w:r w:rsidRPr="00163884">
        <w:rPr>
          <w:lang w:val="es-MX"/>
        </w:rPr>
        <w:t>colonizables</w:t>
      </w:r>
      <w:proofErr w:type="spellEnd"/>
      <w:r w:rsidRPr="00163884">
        <w:rPr>
          <w:lang w:val="es-MX"/>
        </w:rPr>
        <w:t>, de sub-hombres, en la fuerza misma de nuestra unidad y de nuestra liberación. Es partiendo de las esencias de nuestra nacionalidad latinoamericana como podremos dar forma a nuestra propia realidad y vencer los obstáculos que se oponen a la estructuración de nuestro proyecto histórico.</w:t>
      </w:r>
    </w:p>
    <w:p w:rsidR="00163884" w:rsidRPr="00163884" w:rsidRDefault="00163884" w:rsidP="00163884">
      <w:pPr>
        <w:jc w:val="both"/>
        <w:rPr>
          <w:lang w:val="es-MX"/>
        </w:rPr>
      </w:pPr>
      <w:r w:rsidRPr="00163884">
        <w:rPr>
          <w:lang w:val="es-MX"/>
        </w:rPr>
        <w:t xml:space="preserve">Para afirmarnos en nosotros mismos tenemos que comenzar por conocernos. ¿Qué somos en realidad? ¿Cuáles son las características que configuran el perfil particular de nuestro pueblo y de nuestro continente? Somos por excelencia un continente mestizo. Y es que sin negar los distintos componentes étnicos y las diferencias culturales que se dan entre las distintas regiones, el hecho es que, como dice Jacques Lambert, “la América Latina se ha convertido en la tierra del mestizaje”. Ese es el rasgo más característico de su composición étnica. ¿Qué queremos decir por “mestizo” ?, se pregunta </w:t>
      </w:r>
      <w:proofErr w:type="spellStart"/>
      <w:r w:rsidRPr="00163884">
        <w:rPr>
          <w:lang w:val="es-MX"/>
        </w:rPr>
        <w:t>Maradiaga</w:t>
      </w:r>
      <w:proofErr w:type="spellEnd"/>
      <w:r w:rsidRPr="00163884">
        <w:rPr>
          <w:lang w:val="es-MX"/>
        </w:rPr>
        <w:t xml:space="preserve">. “¿Mezclado de sangre?”. Desde luego, así, en general; pero también algo menos y algo más. Algo menos porque no es menester que Pérez o Fernández tenga sangre india </w:t>
      </w:r>
      <w:r w:rsidRPr="00163884">
        <w:rPr>
          <w:lang w:val="es-MX"/>
        </w:rPr>
        <w:lastRenderedPageBreak/>
        <w:t xml:space="preserve">para que sea mestizo; basta que viva en el ambiente hispanoamericano o </w:t>
      </w:r>
      <w:proofErr w:type="spellStart"/>
      <w:r w:rsidRPr="00163884">
        <w:rPr>
          <w:lang w:val="es-MX"/>
        </w:rPr>
        <w:t>indiohispano</w:t>
      </w:r>
      <w:proofErr w:type="spellEnd"/>
      <w:r w:rsidRPr="00163884">
        <w:rPr>
          <w:lang w:val="es-MX"/>
        </w:rPr>
        <w:t xml:space="preserve"> que condiciona su ser físico y moral. Y algo más, porque la </w:t>
      </w:r>
      <w:proofErr w:type="spellStart"/>
      <w:r w:rsidRPr="00163884">
        <w:rPr>
          <w:lang w:val="es-MX"/>
        </w:rPr>
        <w:t>mesticidad</w:t>
      </w:r>
      <w:proofErr w:type="spellEnd"/>
      <w:r w:rsidRPr="00163884">
        <w:rPr>
          <w:lang w:val="es-MX"/>
        </w:rPr>
        <w:t xml:space="preserve"> de Hispanoamérica es en último término fruto de un injerto del tronco-ramaje español en el tronco-raigambre indio; de modo que el español no arraiga en la tierra americana más que a través del indio”.</w:t>
      </w:r>
    </w:p>
    <w:p w:rsidR="00163884" w:rsidRDefault="00163884" w:rsidP="00163884">
      <w:pPr>
        <w:jc w:val="both"/>
        <w:rPr>
          <w:lang w:val="es-MX"/>
        </w:rPr>
      </w:pPr>
      <w:r w:rsidRPr="00163884">
        <w:rPr>
          <w:lang w:val="es-MX"/>
        </w:rPr>
        <w:t>“No somos europeos... no somos indios… Somos un pequeño género humano”, decía Simón Bolívar. “Poseemos un mundo aparte, cercado por dilatados mares, nuevo en casi todas las artes y ciencias aunque, en cierto modo, viejo en los usos de la sociedad civil”. Ese “pequeño género humano” de que hablaba Bolívar es en realidad la raza mestiza, aunque mucho tiempo debía transcurrir antes de que los latinoamericanos nos reconociéramos como tales y más aún para que comprendiéramos las potencialidades creadoras del proceso de mestizaje y lo transformáramos en motivo de legítimo orgullo.</w:t>
      </w:r>
    </w:p>
    <w:p w:rsidR="00163884" w:rsidRPr="00163884" w:rsidRDefault="00163884" w:rsidP="00163884">
      <w:pPr>
        <w:jc w:val="both"/>
        <w:rPr>
          <w:lang w:val="es-MX"/>
        </w:rPr>
      </w:pPr>
      <w:r w:rsidRPr="00163884">
        <w:rPr>
          <w:lang w:val="es-MX"/>
        </w:rPr>
        <w:t>Es necesario, sin embargo, precaverse de transformar el reconocimiento de las potencialidades del mestizaje en otra forma sutil de racismo, dirigido esta vez contra nuestras masas indígenas. Tampoco suponer que el mestizaje conduciría a la supresión de las desigualdades, a la homogeneización social, y a la integración nacional de América Latina. Esto sería atribuirle virtudes que no posee, desde luego que la simple aceptación del mestizaje biológico o cultural no cambia las estructuras sociales vigentes.</w:t>
      </w:r>
    </w:p>
    <w:p w:rsidR="00163884" w:rsidRPr="00163884" w:rsidRDefault="00163884" w:rsidP="00163884">
      <w:pPr>
        <w:jc w:val="both"/>
        <w:rPr>
          <w:lang w:val="es-MX"/>
        </w:rPr>
      </w:pPr>
      <w:r w:rsidRPr="00163884">
        <w:rPr>
          <w:lang w:val="es-MX"/>
        </w:rPr>
        <w:t xml:space="preserve">La revalorización de las culturas indígenas y la plena incorporación de las comunidades aborígenes a la Nación es otro de los retos que enfrentamos los latinoamericanos. Recordemos el apóstrofe de José Martí: “¡Estos nacidos en América, que se avergüenzan porque llevan delantal indio, de la madre que los </w:t>
      </w:r>
      <w:proofErr w:type="spellStart"/>
      <w:r w:rsidRPr="00163884">
        <w:rPr>
          <w:lang w:val="es-MX"/>
        </w:rPr>
        <w:t>crió</w:t>
      </w:r>
      <w:proofErr w:type="spellEnd"/>
      <w:r w:rsidRPr="00163884">
        <w:rPr>
          <w:lang w:val="es-MX"/>
        </w:rPr>
        <w:t>!” ... “¡Estos hijos de nuestra América, que ha de salvarse con sus indios!” ... ¿En qué patria puede tener un hombre más orgullo que en nuestras repúblicas dolorosas de América, levantadas entre las masas de indios, al ruido de la pelea del libro con el cirial, sobre los brazos sangrientos de un centenar de apóstoles?”.</w:t>
      </w:r>
    </w:p>
    <w:p w:rsidR="00163884" w:rsidRPr="00163884" w:rsidRDefault="00163884" w:rsidP="00163884">
      <w:pPr>
        <w:jc w:val="both"/>
        <w:rPr>
          <w:lang w:val="es-MX"/>
        </w:rPr>
      </w:pPr>
      <w:r w:rsidRPr="00163884">
        <w:rPr>
          <w:lang w:val="es-MX"/>
        </w:rPr>
        <w:t>Cabe señalar que hay momentos en nuestra historia en que el sentimiento latinoamericano se hace sentir con mayor vehemencia. Son los momentos en que América Latina se afirma frente a la agresión exterior. Entonces, más que nunca, es evidente que América Latina es una realidad innegable.</w:t>
      </w:r>
    </w:p>
    <w:p w:rsidR="00163884" w:rsidRPr="00163884" w:rsidRDefault="00163884" w:rsidP="00163884">
      <w:pPr>
        <w:jc w:val="both"/>
        <w:rPr>
          <w:lang w:val="es-MX"/>
        </w:rPr>
      </w:pPr>
      <w:r w:rsidRPr="00163884">
        <w:rPr>
          <w:lang w:val="es-MX"/>
        </w:rPr>
        <w:t xml:space="preserve">En marzo del año 1999, reunidos en Cartagena de Indias (Colombia) casi un centenar de intelectuales latinoamericanos, llegamos a la conclusión que la construcción de América Latina “más que una simple sumatoria de mercados, debería ser un verdadero proyecto político de profunda raíz democrática, que promueva la solidaridad entre nuestros pueblos, se asiente sobre sus propios valores y reconozca la realidad de su contexto </w:t>
      </w:r>
      <w:proofErr w:type="spellStart"/>
      <w:r w:rsidRPr="00163884">
        <w:rPr>
          <w:lang w:val="es-MX"/>
        </w:rPr>
        <w:t>pluriétnico</w:t>
      </w:r>
      <w:proofErr w:type="spellEnd"/>
      <w:r w:rsidRPr="00163884">
        <w:rPr>
          <w:lang w:val="es-MX"/>
        </w:rPr>
        <w:t xml:space="preserve"> y pluricultural”.</w:t>
      </w:r>
    </w:p>
    <w:p w:rsidR="00163884" w:rsidRPr="00163884" w:rsidRDefault="00163884" w:rsidP="00163884">
      <w:pPr>
        <w:jc w:val="both"/>
        <w:rPr>
          <w:lang w:val="es-MX"/>
        </w:rPr>
      </w:pPr>
      <w:r w:rsidRPr="00163884">
        <w:rPr>
          <w:lang w:val="es-MX"/>
        </w:rPr>
        <w:t xml:space="preserve">América Latina es, por definición, tierra de mestizaje, de encuentro de pueblos y culturas. Ese es su signo y su esperanza, su verdadero capital humano y cultural. “Nuestra América mestiza”, decía José Martí. La raza a través de la cual “hablará el espíritu”, según el lema </w:t>
      </w:r>
      <w:proofErr w:type="spellStart"/>
      <w:r w:rsidRPr="00163884">
        <w:rPr>
          <w:lang w:val="es-MX"/>
        </w:rPr>
        <w:t>vasconceliano</w:t>
      </w:r>
      <w:proofErr w:type="spellEnd"/>
      <w:r w:rsidRPr="00163884">
        <w:rPr>
          <w:lang w:val="es-MX"/>
        </w:rPr>
        <w:t xml:space="preserve">. El poeta caribeño Derek </w:t>
      </w:r>
      <w:proofErr w:type="spellStart"/>
      <w:r w:rsidRPr="00163884">
        <w:rPr>
          <w:lang w:val="es-MX"/>
        </w:rPr>
        <w:t>Walcott</w:t>
      </w:r>
      <w:proofErr w:type="spellEnd"/>
      <w:r w:rsidRPr="00163884">
        <w:rPr>
          <w:lang w:val="es-MX"/>
        </w:rPr>
        <w:t xml:space="preserve">, Premio Nobel de Literatura de 1992, dice en uno de sus extraordinarios poemas: “Sólo soy un negro rojo que ama el mar ...tengo holandés, negro e inglés dentro de mí, y </w:t>
      </w:r>
      <w:proofErr w:type="spellStart"/>
      <w:r w:rsidRPr="00163884">
        <w:rPr>
          <w:lang w:val="es-MX"/>
        </w:rPr>
        <w:t>o</w:t>
      </w:r>
      <w:proofErr w:type="spellEnd"/>
      <w:r w:rsidRPr="00163884">
        <w:rPr>
          <w:lang w:val="es-MX"/>
        </w:rPr>
        <w:t xml:space="preserve"> no soy nadie o soy una nación” ...</w:t>
      </w:r>
    </w:p>
    <w:p w:rsidR="00163884" w:rsidRPr="00163884" w:rsidRDefault="00163884" w:rsidP="00163884">
      <w:pPr>
        <w:jc w:val="both"/>
        <w:rPr>
          <w:lang w:val="es-MX"/>
        </w:rPr>
      </w:pPr>
      <w:r w:rsidRPr="00163884">
        <w:rPr>
          <w:lang w:val="es-MX"/>
        </w:rPr>
        <w:t>El mestizaje es lo que define nuestro ser y quehacer como latinoamericanos. Define nuestra personalidad y, a la vez, define nuestras posibilidades como pueblos, nuestra originalidad y poder creador. Nuestro presente y nuestro futuro están construidos sobre la base del mestizaje.</w:t>
      </w:r>
    </w:p>
    <w:p w:rsidR="00163884" w:rsidRPr="00163884" w:rsidRDefault="00163884" w:rsidP="00163884">
      <w:pPr>
        <w:jc w:val="both"/>
        <w:rPr>
          <w:lang w:val="es-MX"/>
        </w:rPr>
      </w:pPr>
      <w:r w:rsidRPr="00163884">
        <w:rPr>
          <w:lang w:val="es-MX"/>
        </w:rPr>
        <w:t xml:space="preserve">Nos corresponde reivindicar entonces la riqueza del mestizaje étnico y cultural. Somos los precursores de lo que un día será la humanidad: una humanidad mestiza y, por lo mismo, verdaderamente universal. “Soy un mestizo, proclamaba Luis Cardoza y Aragón, tengo mi lugar. Un lugar entre Apolo y </w:t>
      </w:r>
      <w:proofErr w:type="spellStart"/>
      <w:r w:rsidRPr="00163884">
        <w:rPr>
          <w:lang w:val="es-MX"/>
        </w:rPr>
        <w:t>Coathicue</w:t>
      </w:r>
      <w:proofErr w:type="spellEnd"/>
      <w:r w:rsidRPr="00163884">
        <w:rPr>
          <w:lang w:val="es-MX"/>
        </w:rPr>
        <w:t>. Soy real, me fundo en dos mitos”.</w:t>
      </w:r>
    </w:p>
    <w:p w:rsidR="00163884" w:rsidRPr="00163884" w:rsidRDefault="00163884" w:rsidP="00163884">
      <w:pPr>
        <w:jc w:val="both"/>
        <w:rPr>
          <w:lang w:val="es-MX"/>
        </w:rPr>
      </w:pPr>
      <w:r w:rsidRPr="00163884">
        <w:rPr>
          <w:lang w:val="es-MX"/>
        </w:rPr>
        <w:t>Un doble reto se presenta ante nosotros: robustecer nuestra identidad, de raíz profundamente mestiza, y a la vez, incorporarnos en un contexto internacional donde la globalización y las economías abiertas están a la orden del día, con su tendencia hacia la homogeneización cultural.</w:t>
      </w:r>
    </w:p>
    <w:p w:rsidR="00163884" w:rsidRDefault="00163884" w:rsidP="00163884">
      <w:pPr>
        <w:jc w:val="both"/>
        <w:rPr>
          <w:lang w:val="es-MX"/>
        </w:rPr>
      </w:pPr>
      <w:r w:rsidRPr="00163884">
        <w:rPr>
          <w:lang w:val="es-MX"/>
        </w:rPr>
        <w:t>De ahí que el tema de la unidad y diversidad cultural adquiera singular relevancia en la agenda internacional. Alguien ha dicho que “la diversidad cultural es a la historia y a la política, lo que la biodiversidad es a la naturalez</w:t>
      </w:r>
      <w:r w:rsidR="00CF65D6">
        <w:rPr>
          <w:lang w:val="es-MX"/>
        </w:rPr>
        <w:t>a”</w:t>
      </w:r>
      <w:proofErr w:type="gramStart"/>
      <w:r w:rsidR="00CF65D6">
        <w:rPr>
          <w:lang w:val="es-MX"/>
        </w:rPr>
        <w:t>.</w:t>
      </w:r>
      <w:r w:rsidRPr="00163884">
        <w:rPr>
          <w:lang w:val="es-MX"/>
        </w:rPr>
        <w:t>(</w:t>
      </w:r>
      <w:proofErr w:type="gramEnd"/>
      <w:r w:rsidRPr="00163884">
        <w:rPr>
          <w:lang w:val="es-MX"/>
        </w:rPr>
        <w:t>…)</w:t>
      </w:r>
    </w:p>
    <w:p w:rsidR="00CF65D6" w:rsidRPr="00CF65D6" w:rsidRDefault="00CF65D6" w:rsidP="00CF65D6">
      <w:pPr>
        <w:jc w:val="right"/>
        <w:rPr>
          <w:lang w:val="es-MX"/>
        </w:rPr>
      </w:pPr>
      <w:proofErr w:type="spellStart"/>
      <w:r w:rsidRPr="00CF65D6">
        <w:rPr>
          <w:lang w:val="es-MX"/>
        </w:rPr>
        <w:t>Tünnermann</w:t>
      </w:r>
      <w:proofErr w:type="spellEnd"/>
      <w:r w:rsidRPr="00CF65D6">
        <w:rPr>
          <w:lang w:val="es-MX"/>
        </w:rPr>
        <w:t xml:space="preserve"> </w:t>
      </w:r>
      <w:proofErr w:type="spellStart"/>
      <w:r w:rsidRPr="00CF65D6">
        <w:rPr>
          <w:lang w:val="es-MX"/>
        </w:rPr>
        <w:t>Bernheim</w:t>
      </w:r>
      <w:proofErr w:type="spellEnd"/>
      <w:r w:rsidRPr="00CF65D6">
        <w:rPr>
          <w:lang w:val="es-MX"/>
        </w:rPr>
        <w:t>, Carlos, “América Latina: identidad y diversidad cultural. El aporte de las universidades al proceso integracionista”, Polis, 23 julio 2012, disponible en: http://journals.openedition.org/polis/4122</w:t>
      </w:r>
    </w:p>
    <w:p w:rsidR="00CF65D6" w:rsidRPr="00CF65D6" w:rsidRDefault="00CF65D6" w:rsidP="00CF65D6">
      <w:pPr>
        <w:jc w:val="both"/>
        <w:rPr>
          <w:b/>
          <w:lang w:val="es-MX"/>
        </w:rPr>
      </w:pPr>
      <w:r w:rsidRPr="00CF65D6">
        <w:rPr>
          <w:b/>
          <w:lang w:val="es-MX"/>
        </w:rPr>
        <w:t>Recurso 2: América Latina existe: discurso de Gabriel García Márquez sobre la integración latinoamericana</w:t>
      </w:r>
    </w:p>
    <w:p w:rsidR="00CF65D6" w:rsidRPr="00CF65D6" w:rsidRDefault="00CF65D6" w:rsidP="00CF65D6">
      <w:pPr>
        <w:jc w:val="both"/>
        <w:rPr>
          <w:lang w:val="es-MX"/>
        </w:rPr>
      </w:pPr>
      <w:r w:rsidRPr="00CF65D6">
        <w:rPr>
          <w:lang w:val="es-MX"/>
        </w:rPr>
        <w:t>Palabras pronunciadas por el escritor colombiano en Contadora, Panamá, el 28 de marzo de 1995 en el Laboratorio del Grupo Contadora con el tema “¿América Latina existe?”.</w:t>
      </w:r>
    </w:p>
    <w:p w:rsidR="00CF65D6" w:rsidRPr="00CF65D6" w:rsidRDefault="00CF65D6" w:rsidP="00CF65D6">
      <w:pPr>
        <w:jc w:val="both"/>
        <w:rPr>
          <w:lang w:val="es-MX"/>
        </w:rPr>
      </w:pPr>
      <w:r w:rsidRPr="00CF65D6">
        <w:rPr>
          <w:lang w:val="es-MX"/>
        </w:rPr>
        <w:t>Esperé hasta el último turno para hablar, porque ayer al desayuno no sabía nada de lo que aprendí en el resto del día. Soy un conversador empedernido y estos torneos son monólogos implacables en los que está vedado el placer de las interpelaciones y las réplicas. Uno toma notas, pide la palabra, espera, y cuando le llega el turno ya los otros han dicho lo que uno iba a decir. Mi compatriota Augusto Ramírez me había dicho en el avión que es fácil saber cuándo alguien se ha vuelto viejo porque todo lo que dice lo ilustra con una anécdota. Si es así, le dije, yo nací ya viejo, y todos mis libros son seniles. Una prueba de eso lo son estas notas.</w:t>
      </w:r>
    </w:p>
    <w:p w:rsidR="00CF65D6" w:rsidRPr="00CF65D6" w:rsidRDefault="00CF65D6" w:rsidP="00CF65D6">
      <w:pPr>
        <w:jc w:val="both"/>
        <w:rPr>
          <w:lang w:val="es-MX"/>
        </w:rPr>
      </w:pPr>
      <w:r w:rsidRPr="00CF65D6">
        <w:rPr>
          <w:lang w:val="es-MX"/>
        </w:rPr>
        <w:t>La primera sorpresa nos la dio el presidente Lacalle con la revelación de que el nombre de América Latina no es francés. Siempre creí que sí lo era, pero por más que lo pienso no he logrado recordar de dónde lo aprendí y, en todo caso, no podría probarlo. Bolívar no lo usó. Él decía América, sin adjetivos, antes de que los norteamericanos se apoderaran del nombre para ellos solos. Pero, en cambio, comprimió Bolívar en cinco palabras el caos de nuestra identidad para definirnos en la Carta de Jamaica: somos un pequeño género humano. Es decir, incluyó todo lo que se queda por fuera en las otras definiciones: los orígenes múltiples, las lenguas indígenas nuestras y las lenguas indígenas europeas: el español, el portugués, el inglés, el francés, el holandés.</w:t>
      </w:r>
    </w:p>
    <w:p w:rsidR="00CF65D6" w:rsidRPr="00CF65D6" w:rsidRDefault="00CF65D6" w:rsidP="00CF65D6">
      <w:pPr>
        <w:jc w:val="both"/>
        <w:rPr>
          <w:lang w:val="es-MX"/>
        </w:rPr>
      </w:pPr>
      <w:r w:rsidRPr="00CF65D6">
        <w:rPr>
          <w:lang w:val="es-MX"/>
        </w:rPr>
        <w:t xml:space="preserve">Por los años cuarenta se despertaron en Ámsterdam con la noticia disparatada de que Holanda estaba participando en un torneo mundial de béisbol –que es un deporte ajeno a los holandeses– y era que Curazao estaba a punto de ganar el campeonato mundial de Centroamérica y el Caribe. A propósito del Caribe, creo que su área está mal determinada, porque en realidad no debería ser geográfica sino cultural. Debería empezar en el sur de los Estados Unidos y extenderse hasta el norte de Brasil. La América Central, que suponemos del Pacífico, no tiene mucho de él y su cultura es del Caribe. Este reclamo legítimo tendría por lo menos la ventaja de que Faulkner y todos los grandes escritores del sur de los Estados Unidos entrarían a formar parte de la congregación del realismo mágico. También por los años cuarenta, Giovanni </w:t>
      </w:r>
      <w:proofErr w:type="spellStart"/>
      <w:r w:rsidRPr="00CF65D6">
        <w:rPr>
          <w:lang w:val="es-MX"/>
        </w:rPr>
        <w:t>Papini</w:t>
      </w:r>
      <w:proofErr w:type="spellEnd"/>
      <w:r w:rsidRPr="00CF65D6">
        <w:rPr>
          <w:lang w:val="es-MX"/>
        </w:rPr>
        <w:t xml:space="preserve"> declaró que América Latina no había aportado nada a la humanidad, ni siquiera un santo, como si le pareciera poca cosa. Se equivocó, pues ya teníamos a Santa Rosa de Lima, pero no la contó, quizás por ser mujer. Su afirmación ilustraba muy bien la idea que siempre han tenido de nosotros los europeos: todo lo que no se parece a ellos les parece un error y hacen todo por corregirlo a su manera, como los Estados Unidos. Simón Bolívar, desesperado con tantos consejos e imposiciones, dijo: «Déjennos hacer tranquilos nuestra Edad Media».</w:t>
      </w:r>
    </w:p>
    <w:p w:rsidR="00CF65D6" w:rsidRPr="00CF65D6" w:rsidRDefault="00CF65D6" w:rsidP="00CF65D6">
      <w:pPr>
        <w:jc w:val="both"/>
        <w:rPr>
          <w:lang w:val="es-MX"/>
        </w:rPr>
      </w:pPr>
      <w:r w:rsidRPr="00CF65D6">
        <w:rPr>
          <w:lang w:val="es-MX"/>
        </w:rPr>
        <w:t>Nadie padeció como él la presión de una Europa que ya era vieja en relación con el sistema que debía escoger, monarquía o república. Mucho se ha escrito sobre sus sueños de ceñir una corona. La verdad es que entonces, aun después de las revoluciones norteamericana y francesa, la monarquía no era algo tan anacrónico como nos parece a los republicanos de hoy. Bolívar lo entendió así y creía que el sistema no importaba si había de servir para el sueño de una América independiente y unida. Es decir, como él decía, el Estado más grande, rico y poderoso del mundo. Ya éramos víctimas de la guerra entre los dogmas que aún nos atormentan, como nos lo recordó ayer Sergio Ramírez: caen unos y surgen otros, aunque sólo sean una coartada, como las elecciones en las democracias.</w:t>
      </w:r>
    </w:p>
    <w:p w:rsidR="00CF65D6" w:rsidRPr="00CF65D6" w:rsidRDefault="00CF65D6" w:rsidP="00CF65D6">
      <w:pPr>
        <w:jc w:val="both"/>
        <w:rPr>
          <w:lang w:val="es-MX"/>
        </w:rPr>
      </w:pPr>
      <w:r w:rsidRPr="00CF65D6">
        <w:rPr>
          <w:lang w:val="es-MX"/>
        </w:rPr>
        <w:t xml:space="preserve">Un buen ejemplo es Colombia. Basta con que haya elecciones puntuales para legitimar la democracia, pues lo que importa es el rito, sin preocuparse mucho de sus vicios: el clientelismo, la corrupción, el fraude, el comercio de votos. Jaime </w:t>
      </w:r>
      <w:proofErr w:type="spellStart"/>
      <w:r w:rsidRPr="00CF65D6">
        <w:rPr>
          <w:lang w:val="es-MX"/>
        </w:rPr>
        <w:t>Bateman</w:t>
      </w:r>
      <w:proofErr w:type="spellEnd"/>
      <w:r w:rsidRPr="00CF65D6">
        <w:rPr>
          <w:lang w:val="es-MX"/>
        </w:rPr>
        <w:t>, el comandante del M-19, decía: «Un senador no se elige con sesenta mil votos sino</w:t>
      </w:r>
      <w:r>
        <w:rPr>
          <w:lang w:val="es-MX"/>
        </w:rPr>
        <w:t xml:space="preserve"> </w:t>
      </w:r>
      <w:r w:rsidRPr="00CF65D6">
        <w:rPr>
          <w:lang w:val="es-MX"/>
        </w:rPr>
        <w:t>mil pesos!». La explicación es que había votado por equivocación por un candidato con un nombre que confundió con el mío, y luego se dio cuenta. ¿Qué podía hacer yo? Le pagué sus seis mil pesos.</w:t>
      </w:r>
    </w:p>
    <w:p w:rsidR="00CF65D6" w:rsidRPr="00CF65D6" w:rsidRDefault="00CF65D6" w:rsidP="00CF65D6">
      <w:pPr>
        <w:jc w:val="both"/>
        <w:rPr>
          <w:lang w:val="es-MX"/>
        </w:rPr>
      </w:pPr>
      <w:r w:rsidRPr="00CF65D6">
        <w:rPr>
          <w:lang w:val="es-MX"/>
        </w:rPr>
        <w:t xml:space="preserve">El destino de la idea bolivariana de la integración parece cada vez más sembrado de dudas, salvo en las artes y las letras, que avanzan en la integración cultural por su cuenta y riesgo. Nuestro querido Federico Mayor hace bien en preocuparse por el silencio de los intelectuales, pero no por el silencio de los artistas, que al fin y al cabo no son intelectuales sino sentimentales. Se expresan a gritos desde el Río Bravo hasta la Patagonia, en nuestra música, en nuestra pintura, en el teatro y en los bailes, en las novelas y en las telenovelas. Félix B. </w:t>
      </w:r>
      <w:proofErr w:type="spellStart"/>
      <w:r w:rsidRPr="00CF65D6">
        <w:rPr>
          <w:lang w:val="es-MX"/>
        </w:rPr>
        <w:t>Cagnet</w:t>
      </w:r>
      <w:proofErr w:type="spellEnd"/>
      <w:r w:rsidRPr="00CF65D6">
        <w:rPr>
          <w:lang w:val="es-MX"/>
        </w:rPr>
        <w:t xml:space="preserve">, el padre de las radionovelas, dijo: «Yo parto de la base de que la gente quiere llorar, lo único que hago es darles el pretexto». Son las formas de la expresión popular las más sencillas y ricas del </w:t>
      </w:r>
      <w:proofErr w:type="spellStart"/>
      <w:r w:rsidRPr="00CF65D6">
        <w:rPr>
          <w:lang w:val="es-MX"/>
        </w:rPr>
        <w:t>polilingüismo</w:t>
      </w:r>
      <w:proofErr w:type="spellEnd"/>
      <w:r w:rsidRPr="00CF65D6">
        <w:rPr>
          <w:lang w:val="es-MX"/>
        </w:rPr>
        <w:t xml:space="preserve"> continental. Cuando la integración política y económica se cumplan, y así será, la integración cultural será un hecho irreversible desde tiempo atrás. Inclusive en los Estados Unidos, que se gastan enormes fortunas en penetración cultural, mientras que nosotros, sin gastar un centavo, les estamos cambiando el idioma, la comida, la música, la educación, las formas de vivir, el amor. Es decir, lo más importante de la vida: la cultura.</w:t>
      </w:r>
    </w:p>
    <w:p w:rsidR="00CF65D6" w:rsidRPr="00CF65D6" w:rsidRDefault="00CF65D6" w:rsidP="00CF65D6">
      <w:pPr>
        <w:jc w:val="both"/>
        <w:rPr>
          <w:lang w:val="es-MX"/>
        </w:rPr>
      </w:pPr>
      <w:r w:rsidRPr="00CF65D6">
        <w:rPr>
          <w:lang w:val="es-MX"/>
        </w:rPr>
        <w:t xml:space="preserve">Una de las grandes alegrías que me llevo de estas dos jornadas sin recreos fue el primer encuentro con mi buen vecino, el ministro Francisco </w:t>
      </w:r>
      <w:proofErr w:type="spellStart"/>
      <w:r w:rsidRPr="00CF65D6">
        <w:rPr>
          <w:lang w:val="es-MX"/>
        </w:rPr>
        <w:t>Weffort</w:t>
      </w:r>
      <w:proofErr w:type="spellEnd"/>
      <w:r w:rsidRPr="00CF65D6">
        <w:rPr>
          <w:lang w:val="es-MX"/>
        </w:rPr>
        <w:t xml:space="preserve">, que empezó por sorprendernos con su castellano impecable. En cambio, me pregunto si alrededor de esta mesa hay más de dos que hablen el portugués. Bien dijo el presidente De la Madrid que nuestro castellano no se molesta por saltar el Mato Grosso mientras los brasileños, en un esfuerzo nacional por entenderse con nosotros, están creando el </w:t>
      </w:r>
      <w:proofErr w:type="spellStart"/>
      <w:r w:rsidRPr="00CF65D6">
        <w:rPr>
          <w:lang w:val="es-MX"/>
        </w:rPr>
        <w:t>portuñol</w:t>
      </w:r>
      <w:proofErr w:type="spellEnd"/>
      <w:r w:rsidRPr="00CF65D6">
        <w:rPr>
          <w:lang w:val="es-MX"/>
        </w:rPr>
        <w:t xml:space="preserve">, que quizás será la lengua franca de la América integrada. Pacho </w:t>
      </w:r>
      <w:proofErr w:type="spellStart"/>
      <w:r w:rsidRPr="00CF65D6">
        <w:rPr>
          <w:lang w:val="es-MX"/>
        </w:rPr>
        <w:t>Weffort</w:t>
      </w:r>
      <w:proofErr w:type="spellEnd"/>
      <w:r w:rsidRPr="00CF65D6">
        <w:rPr>
          <w:lang w:val="es-MX"/>
        </w:rPr>
        <w:t>, como le diríamos en Colombia; Pancho, como le diríamos en México, o Paco, como le dirían en cualquiera de las tabernas de España, defiende con razones de peso pesado el Ministerio de la Cultura. Yo me opongo sin éxito, y tal vez por fortuna, a que se instaure en Colombia. Mi argumento principal es que contribuirá a la oficialización y la burocratización de la cultura.</w:t>
      </w:r>
    </w:p>
    <w:p w:rsidR="00CF65D6" w:rsidRPr="00CF65D6" w:rsidRDefault="00CF65D6" w:rsidP="00CF65D6">
      <w:pPr>
        <w:jc w:val="both"/>
        <w:rPr>
          <w:lang w:val="es-MX"/>
        </w:rPr>
      </w:pPr>
      <w:r w:rsidRPr="00CF65D6">
        <w:rPr>
          <w:lang w:val="es-MX"/>
        </w:rPr>
        <w:t xml:space="preserve">Pero no hay que simplificar. Lo que rechazo es la estructura ministerial, víctima fácil del clientelismo y la manipulación política. Propongo en su lugar un Consejo Nacional de Cultura que no sea gubernamental sino estatal, responsable ante la presidencia de la República y no ante el Congreso, y a salvo de las frecuentes crisis ministeriales, las intrigas palaciegas, las magias negras del presupuesto. Gracias al excelente español de Pacho, y a pesar de mi </w:t>
      </w:r>
      <w:proofErr w:type="spellStart"/>
      <w:r w:rsidRPr="00CF65D6">
        <w:rPr>
          <w:lang w:val="es-MX"/>
        </w:rPr>
        <w:t>portuñol</w:t>
      </w:r>
      <w:proofErr w:type="spellEnd"/>
      <w:r w:rsidRPr="00CF65D6">
        <w:rPr>
          <w:lang w:val="es-MX"/>
        </w:rPr>
        <w:t xml:space="preserve"> vergonzante, terminamos de acuerdo en que no importa cómo sea, siempre que el Estado asuma la grave responsabilidad de preservar y ensanchar los ámbitos de la cultura.</w:t>
      </w:r>
    </w:p>
    <w:p w:rsidR="00CF65D6" w:rsidRPr="00CF65D6" w:rsidRDefault="00CF65D6" w:rsidP="00CF65D6">
      <w:pPr>
        <w:jc w:val="both"/>
        <w:rPr>
          <w:lang w:val="es-MX"/>
        </w:rPr>
      </w:pPr>
      <w:r w:rsidRPr="00CF65D6">
        <w:rPr>
          <w:lang w:val="es-MX"/>
        </w:rPr>
        <w:t>El presidente De la Madrid nos hizo el gran favor de tocar el drama del narcotráfico. Para él los Estados Unidos abastecen a diario entre veinte y treinta millones de drogadictos sin el menor tropiezo, casi a domicilio, como si fuera la leche, el periódico o el pan. Esto sólo es posible con unas mafias más fuertes que las colombianas y una corrupción mayor de las autoridades que en Colombia. El problema del narcotráfico, por supuesto, nos toca a los colombianos muy profundamente. Ya casi somos los únicos culpables del narcotráfico, somos los únicos culpables de que los Estados Unidos tengan ese gran mercado de consumo, por desgracia del cual es tan próspera la industria del narcotráfico en Colombia. Mi impresión es que el tráfico de drogas es un problema que se le salió de las manos a la humanidad. Eso no quiere decir que debamos ser pesimistas y declararnos en derrota, sino que hay que seguir combatiendo el problema a partir de ese punto de vista y no a partir de la fumigación.</w:t>
      </w:r>
    </w:p>
    <w:p w:rsidR="00CF65D6" w:rsidRDefault="00CF65D6" w:rsidP="00CF65D6">
      <w:pPr>
        <w:jc w:val="both"/>
        <w:rPr>
          <w:lang w:val="es-MX"/>
        </w:rPr>
      </w:pPr>
      <w:r w:rsidRPr="00CF65D6">
        <w:rPr>
          <w:lang w:val="es-MX"/>
        </w:rPr>
        <w:t>Hace poco estuve con un grupo de periodistas norteamericanos en una pequeña meseta que no podía tener más de tres o cuatro hectáreas sembradas de amapolas. Nos hicieron la demostración: fumigación desde helicópteros, fumigación desde aviones. Al tercer paso de helicópteros y aviones, calculamos que aquéllos podían costar ya más de lo que costaba la parcela. Es descorazonador saber que de ninguna manera se combatirá así el narcotráfico. Yo les dije a algunos periodistas norteamericanos que iban con nosotros que esa fumigación debía empezar por la isla de Manhattan y por la alcaldía de Washington. Les reproché también que ellos y el mundo saben cómo es el problema de la droga en Colombia –cómo se siembra, cómo se procesa, cómo se exporta– porque los periodistas colombianos lo hemos investigado, lo hemos publicado, lo hemos divulgado en el mundo.</w:t>
      </w:r>
    </w:p>
    <w:p w:rsidR="00CF65D6" w:rsidRPr="00CF65D6" w:rsidRDefault="00CF65D6" w:rsidP="00CF65D6">
      <w:pPr>
        <w:jc w:val="both"/>
        <w:rPr>
          <w:lang w:val="es-MX"/>
        </w:rPr>
      </w:pPr>
      <w:r w:rsidRPr="00CF65D6">
        <w:rPr>
          <w:lang w:val="es-MX"/>
        </w:rPr>
        <w:t>Inclusive, muchos lo han pagado con su vida. En cambio, ningún periodista norteamericano se ha tomado el trabajo de decirnos cómo es el ingreso de la droga hasta los Estados Unidos, y cómo es su distribución y su comercialización interna.</w:t>
      </w:r>
    </w:p>
    <w:p w:rsidR="00CF65D6" w:rsidRPr="00CF65D6" w:rsidRDefault="00CF65D6" w:rsidP="00CF65D6">
      <w:pPr>
        <w:jc w:val="both"/>
        <w:rPr>
          <w:lang w:val="es-MX"/>
        </w:rPr>
      </w:pPr>
      <w:r w:rsidRPr="00CF65D6">
        <w:rPr>
          <w:lang w:val="es-MX"/>
        </w:rPr>
        <w:t>Creo que todos terminamos de acuerdo con la conclusión del ex presidente Lacalle de que la redención de estas Américas está en la educación. A la misma habíamos llegado en el Foro de Reflexión de la Unesco el año pasado, donde acabó de diseñarse la hermosa idea de la "Universidad a distancia". Allí me correspondió sustentar una vez más la idea de la captación precoz de las aptitudes y las vocaciones que tanta falta le hacen al mundo. El fundamento es que, si a un niño se le pone frente a un grupo de juguetes diversos, terminará por quedarse con uno solo, y el deber del Estado sería crear las condiciones para que ese juguete le durara a ese niño. Soy un convencido de que ésa es la fórmula secreta de la felicidad y la longevidad. Que cada quien pueda vivir y hacer sólo lo que le gusta, desde la cuna hasta la tumba. Al mismo tiempo, todos estamos de acuerdo, al parecer, en que debemos estar alerta contra la tendencia del Estado a desentenderse de la educación y encomendarla a los particulares. El argumento en contra es demoledor: la educación privada, buena o mala, es la forma más efectiva de la discriminación social.</w:t>
      </w:r>
    </w:p>
    <w:p w:rsidR="00CF65D6" w:rsidRPr="00CF65D6" w:rsidRDefault="00CF65D6" w:rsidP="00CF65D6">
      <w:pPr>
        <w:jc w:val="both"/>
        <w:rPr>
          <w:lang w:val="es-MX"/>
        </w:rPr>
      </w:pPr>
      <w:r w:rsidRPr="00CF65D6">
        <w:rPr>
          <w:lang w:val="es-MX"/>
        </w:rPr>
        <w:t xml:space="preserve">Un buen final para una carrera de relevos de cuatro horas, que puede servirnos para disipar las dudas de si en realidad la América Latina existe, que el ex presidente Lacalle y Augusto Ramírez nos lanzaron desde el principio sobre esta mesa como una granada de fragmentación. Pues bien, a juzgar por lo que se ha dicho aquí en estos dos días, no hay la menor duda de que existe. Tal vez su destino </w:t>
      </w:r>
      <w:proofErr w:type="spellStart"/>
      <w:r w:rsidRPr="00CF65D6">
        <w:rPr>
          <w:lang w:val="es-MX"/>
        </w:rPr>
        <w:t>edípico</w:t>
      </w:r>
      <w:proofErr w:type="spellEnd"/>
      <w:r w:rsidRPr="00CF65D6">
        <w:rPr>
          <w:lang w:val="es-MX"/>
        </w:rPr>
        <w:t xml:space="preserve"> sea seguir buscando para siempre su identidad, lo cual será un sino creativo que nos haría distintos ante el mundo. Maltrecha y dispersa, y todavía sin terminar, y siempre en busca de una ética de la vida, la América Latina existe. ¿La prueba? En estos dos días la hemos tenido: pensamos, luego existimos.</w:t>
      </w:r>
    </w:p>
    <w:p w:rsidR="00CF65D6" w:rsidRPr="00CF65D6" w:rsidRDefault="00CF65D6" w:rsidP="00CF65D6">
      <w:pPr>
        <w:jc w:val="right"/>
        <w:rPr>
          <w:lang w:val="es-MX"/>
        </w:rPr>
      </w:pPr>
      <w:r w:rsidRPr="00CF65D6">
        <w:rPr>
          <w:lang w:val="es-MX"/>
        </w:rPr>
        <w:t>Gabriel García Márquez: “América Latina existe: discurso de Gabriel García Márquez sobre la integración latinoamericana”, Discurso pronunciado en Panamá, 28 de marzo de 1995. Disponible en https://centrogabo.org/gabo/gabo-habla/america-latina-existe-discurso-de-gabriel-garcia-marquez-sobre-la-integracion</w:t>
      </w:r>
    </w:p>
    <w:p w:rsidR="00CF65D6" w:rsidRPr="00CF65D6" w:rsidRDefault="00CF65D6" w:rsidP="00CF65D6">
      <w:pPr>
        <w:jc w:val="both"/>
        <w:rPr>
          <w:b/>
          <w:lang w:val="es-MX"/>
        </w:rPr>
      </w:pPr>
      <w:r w:rsidRPr="00CF65D6">
        <w:rPr>
          <w:b/>
          <w:lang w:val="es-MX"/>
        </w:rPr>
        <w:t>Recurso 3:</w:t>
      </w:r>
    </w:p>
    <w:p w:rsidR="00CF65D6" w:rsidRPr="00CF65D6" w:rsidRDefault="00CF65D6" w:rsidP="00CF65D6">
      <w:pPr>
        <w:jc w:val="both"/>
        <w:rPr>
          <w:b/>
          <w:lang w:val="es-MX"/>
        </w:rPr>
      </w:pPr>
      <w:r w:rsidRPr="00CF65D6">
        <w:rPr>
          <w:b/>
          <w:lang w:val="es-MX"/>
        </w:rPr>
        <w:t xml:space="preserve">LA LÁMPARA EN LA TIERRA AMOR AMÉRICA (1400) </w:t>
      </w:r>
    </w:p>
    <w:p w:rsidR="00CF65D6" w:rsidRPr="00CF65D6" w:rsidRDefault="00CF65D6" w:rsidP="00CF65D6">
      <w:pPr>
        <w:jc w:val="both"/>
        <w:rPr>
          <w:lang w:val="es-MX"/>
        </w:rPr>
      </w:pPr>
      <w:r w:rsidRPr="00CF65D6">
        <w:rPr>
          <w:lang w:val="es-MX"/>
        </w:rPr>
        <w:t>Antes de la peluca y la casaca fueron los ríos, ríos arteriales: fueron las cordilleras, en cuya onda raída el cóndor o la nieve parecían inmóviles: fue la humedad y la espesura, el trueno sin nombre todavía, las pampas planetarias. El hombre tierra fue, vasija, párpado del barro trémulo, forma de la arcilla, fue cántaro caribe, piedra chibcha, copa imperial o sílice araucana. Tierno y sangriento fue, pero en la empuñadura de su arma de cristal humedecido, las iniciales de la tierra estaban escritas. Nadie pudo</w:t>
      </w:r>
      <w:r>
        <w:rPr>
          <w:lang w:val="es-MX"/>
        </w:rPr>
        <w:t xml:space="preserve"> </w:t>
      </w:r>
      <w:r w:rsidRPr="00CF65D6">
        <w:rPr>
          <w:lang w:val="es-MX"/>
        </w:rPr>
        <w:t>recordarlas después: el viento las olvidó, el idioma del agua fue enterrado, las claves se perdieron o se inundaron de silencio o sangre. No se perdió la vida, hermanos pastorales. Pero como una rosa salvaje cayó una gota roja en la espesura y se apagó una lámpara de tierra. Yo estoy aquí para contar la historia. Desde la paz del búfalo hasta las azotadas arenas de la tierra final, en las espumas acumuladas de la luz antártica, y por las madrigueras despeñadas de la sombría paz venezolana, te busqué, padre mío, joven guerrero de tiniebla y cobre oh tú, planta nupcial, cabellera indomable, madre caimán, metálica paloma. Yo, incásico del légamo</w:t>
      </w:r>
      <w:r>
        <w:rPr>
          <w:lang w:val="es-MX"/>
        </w:rPr>
        <w:t xml:space="preserve">, toqué la piedra y dije: Quién </w:t>
      </w:r>
      <w:r w:rsidRPr="00CF65D6">
        <w:rPr>
          <w:lang w:val="es-MX"/>
        </w:rPr>
        <w:t>me espera</w:t>
      </w:r>
      <w:proofErr w:type="gramStart"/>
      <w:r w:rsidRPr="00CF65D6">
        <w:rPr>
          <w:lang w:val="es-MX"/>
        </w:rPr>
        <w:t>?</w:t>
      </w:r>
      <w:proofErr w:type="gramEnd"/>
      <w:r w:rsidRPr="00CF65D6">
        <w:rPr>
          <w:lang w:val="es-MX"/>
        </w:rPr>
        <w:t xml:space="preserve"> Y apreté la mano sobre un puñado de cristal vacío. Pero anduve entre flores zapotecas y dulce era la luz como un venado, y era la sombra como un párpado verde. Tierra mía sin nombre, sin América, estambre equinoccial, lanza de púrpura, tu aroma me trepó por las raíces hasta la copa que bebía, hasta la más delgada palabra aún no nacida de mi boca.</w:t>
      </w:r>
    </w:p>
    <w:p w:rsidR="00CF65D6" w:rsidRPr="00163884" w:rsidRDefault="00CF65D6" w:rsidP="00CF65D6">
      <w:pPr>
        <w:jc w:val="right"/>
        <w:rPr>
          <w:lang w:val="es-MX"/>
        </w:rPr>
      </w:pPr>
      <w:r w:rsidRPr="00CF65D6">
        <w:rPr>
          <w:lang w:val="es-MX"/>
        </w:rPr>
        <w:t>https://www.neruda.uchile.cl/obra/obracantogeneral1.html</w:t>
      </w:r>
    </w:p>
    <w:p w:rsidR="00163884" w:rsidRPr="00163884" w:rsidRDefault="00163884" w:rsidP="00163884">
      <w:pPr>
        <w:jc w:val="both"/>
        <w:rPr>
          <w:b/>
          <w:lang w:val="es-MX"/>
        </w:rPr>
      </w:pPr>
    </w:p>
    <w:p w:rsidR="00163884" w:rsidRPr="00163884" w:rsidRDefault="00163884" w:rsidP="00163884">
      <w:pPr>
        <w:pStyle w:val="Prrafodelista"/>
        <w:numPr>
          <w:ilvl w:val="0"/>
          <w:numId w:val="3"/>
        </w:numPr>
        <w:jc w:val="both"/>
        <w:rPr>
          <w:lang w:val="es-MX"/>
        </w:rPr>
      </w:pPr>
      <w:r w:rsidRPr="00163884">
        <w:rPr>
          <w:lang w:val="es-MX"/>
        </w:rPr>
        <w:t>Según el autor, ¿existe una diversidad o identidad latinoamericana?</w:t>
      </w:r>
    </w:p>
    <w:p w:rsidR="00163884" w:rsidRPr="00163884" w:rsidRDefault="00163884" w:rsidP="00163884">
      <w:pPr>
        <w:pStyle w:val="Prrafodelista"/>
        <w:numPr>
          <w:ilvl w:val="0"/>
          <w:numId w:val="3"/>
        </w:numPr>
        <w:jc w:val="both"/>
        <w:rPr>
          <w:lang w:val="es-MX"/>
        </w:rPr>
      </w:pPr>
      <w:r w:rsidRPr="00163884">
        <w:rPr>
          <w:lang w:val="es-MX"/>
        </w:rPr>
        <w:t>¿Cómo el autor explica la unidad o diversidad propuesta?</w:t>
      </w:r>
    </w:p>
    <w:p w:rsidR="00163884" w:rsidRPr="00163884" w:rsidRDefault="00163884" w:rsidP="00163884">
      <w:pPr>
        <w:jc w:val="both"/>
        <w:rPr>
          <w:lang w:val="es-MX"/>
        </w:rPr>
      </w:pPr>
      <w:r w:rsidRPr="00163884">
        <w:rPr>
          <w:lang w:val="es-MX"/>
        </w:rPr>
        <w:t>Se sugiere organizar las respuestas de los estudiantes en una tabla como la siguiente:</w:t>
      </w:r>
    </w:p>
    <w:tbl>
      <w:tblPr>
        <w:tblStyle w:val="Tablaconcuadrcula"/>
        <w:tblpPr w:leftFromText="180" w:rightFromText="180" w:vertAnchor="text" w:horzAnchor="margin" w:tblpY="18"/>
        <w:tblW w:w="0" w:type="auto"/>
        <w:tblLook w:val="04A0" w:firstRow="1" w:lastRow="0" w:firstColumn="1" w:lastColumn="0" w:noHBand="0" w:noVBand="1"/>
      </w:tblPr>
      <w:tblGrid>
        <w:gridCol w:w="4106"/>
        <w:gridCol w:w="4722"/>
      </w:tblGrid>
      <w:tr w:rsidR="00163884" w:rsidTr="00163884">
        <w:tc>
          <w:tcPr>
            <w:tcW w:w="4106" w:type="dxa"/>
          </w:tcPr>
          <w:p w:rsidR="00163884" w:rsidRDefault="00163884" w:rsidP="00163884">
            <w:pPr>
              <w:jc w:val="both"/>
              <w:rPr>
                <w:lang w:val="es-MX"/>
              </w:rPr>
            </w:pPr>
            <w:r w:rsidRPr="00163884">
              <w:rPr>
                <w:lang w:val="es-MX"/>
              </w:rPr>
              <w:t>Fuente:</w:t>
            </w:r>
          </w:p>
          <w:p w:rsidR="00163884" w:rsidRDefault="00163884" w:rsidP="00163884">
            <w:pPr>
              <w:jc w:val="both"/>
              <w:rPr>
                <w:lang w:val="es-MX"/>
              </w:rPr>
            </w:pPr>
          </w:p>
        </w:tc>
        <w:tc>
          <w:tcPr>
            <w:tcW w:w="4722" w:type="dxa"/>
          </w:tcPr>
          <w:p w:rsidR="00163884" w:rsidRDefault="00163884" w:rsidP="00163884">
            <w:pPr>
              <w:jc w:val="both"/>
              <w:rPr>
                <w:lang w:val="es-MX"/>
              </w:rPr>
            </w:pPr>
          </w:p>
        </w:tc>
      </w:tr>
      <w:tr w:rsidR="00163884" w:rsidTr="00163884">
        <w:tc>
          <w:tcPr>
            <w:tcW w:w="4106" w:type="dxa"/>
          </w:tcPr>
          <w:p w:rsidR="00163884" w:rsidRPr="00163884" w:rsidRDefault="00163884" w:rsidP="00163884">
            <w:pPr>
              <w:jc w:val="both"/>
              <w:rPr>
                <w:lang w:val="es-MX"/>
              </w:rPr>
            </w:pPr>
            <w:r w:rsidRPr="00163884">
              <w:rPr>
                <w:lang w:val="es-MX"/>
              </w:rPr>
              <w:t>Visión sobre América Latina:</w:t>
            </w:r>
          </w:p>
          <w:p w:rsidR="00163884" w:rsidRDefault="00163884" w:rsidP="00163884">
            <w:pPr>
              <w:jc w:val="both"/>
              <w:rPr>
                <w:lang w:val="es-MX"/>
              </w:rPr>
            </w:pPr>
          </w:p>
        </w:tc>
        <w:tc>
          <w:tcPr>
            <w:tcW w:w="4722" w:type="dxa"/>
          </w:tcPr>
          <w:p w:rsidR="00163884" w:rsidRDefault="00163884" w:rsidP="00163884">
            <w:pPr>
              <w:jc w:val="both"/>
              <w:rPr>
                <w:lang w:val="es-MX"/>
              </w:rPr>
            </w:pPr>
          </w:p>
        </w:tc>
      </w:tr>
      <w:tr w:rsidR="00163884" w:rsidTr="00163884">
        <w:tc>
          <w:tcPr>
            <w:tcW w:w="4106" w:type="dxa"/>
          </w:tcPr>
          <w:p w:rsidR="00163884" w:rsidRPr="00163884" w:rsidRDefault="00163884" w:rsidP="00163884">
            <w:pPr>
              <w:jc w:val="both"/>
              <w:rPr>
                <w:lang w:val="es-MX"/>
              </w:rPr>
            </w:pPr>
            <w:r w:rsidRPr="00163884">
              <w:rPr>
                <w:lang w:val="es-MX"/>
              </w:rPr>
              <w:t>Explicación</w:t>
            </w:r>
          </w:p>
          <w:p w:rsidR="00163884" w:rsidRDefault="00163884" w:rsidP="00163884">
            <w:pPr>
              <w:jc w:val="both"/>
              <w:rPr>
                <w:lang w:val="es-MX"/>
              </w:rPr>
            </w:pPr>
          </w:p>
        </w:tc>
        <w:tc>
          <w:tcPr>
            <w:tcW w:w="4722" w:type="dxa"/>
          </w:tcPr>
          <w:p w:rsidR="00163884" w:rsidRDefault="00163884" w:rsidP="00163884">
            <w:pPr>
              <w:jc w:val="both"/>
              <w:rPr>
                <w:lang w:val="es-MX"/>
              </w:rPr>
            </w:pPr>
          </w:p>
        </w:tc>
      </w:tr>
    </w:tbl>
    <w:p w:rsidR="00163884" w:rsidRPr="00163884" w:rsidRDefault="00163884" w:rsidP="00163884">
      <w:pPr>
        <w:jc w:val="both"/>
        <w:rPr>
          <w:lang w:val="es-MX"/>
        </w:rPr>
      </w:pPr>
    </w:p>
    <w:p w:rsidR="00CF65D6" w:rsidRPr="00CF65D6" w:rsidRDefault="00CF65D6" w:rsidP="00CF65D6">
      <w:pPr>
        <w:pStyle w:val="Prrafodelista"/>
        <w:numPr>
          <w:ilvl w:val="0"/>
          <w:numId w:val="3"/>
        </w:numPr>
        <w:jc w:val="both"/>
        <w:rPr>
          <w:lang w:val="es-MX"/>
        </w:rPr>
      </w:pPr>
      <w:r w:rsidRPr="00CF65D6">
        <w:rPr>
          <w:lang w:val="es-MX"/>
        </w:rPr>
        <w:t>¿Cuál es la perspectiva del autor?</w:t>
      </w:r>
    </w:p>
    <w:p w:rsidR="00CF65D6" w:rsidRPr="00CF65D6" w:rsidRDefault="00CF65D6" w:rsidP="00CF65D6">
      <w:pPr>
        <w:pStyle w:val="Prrafodelista"/>
        <w:numPr>
          <w:ilvl w:val="0"/>
          <w:numId w:val="3"/>
        </w:numPr>
        <w:jc w:val="both"/>
        <w:rPr>
          <w:lang w:val="es-MX"/>
        </w:rPr>
      </w:pPr>
      <w:r w:rsidRPr="00CF65D6">
        <w:rPr>
          <w:lang w:val="es-MX"/>
        </w:rPr>
        <w:t>¿En qué se basa el autor para sostener su perspectiva?</w:t>
      </w:r>
    </w:p>
    <w:p w:rsidR="00CF65D6" w:rsidRPr="00CF65D6" w:rsidRDefault="00CF65D6" w:rsidP="00CF65D6">
      <w:pPr>
        <w:pStyle w:val="Prrafodelista"/>
        <w:numPr>
          <w:ilvl w:val="0"/>
          <w:numId w:val="3"/>
        </w:numPr>
        <w:jc w:val="both"/>
        <w:rPr>
          <w:lang w:val="es-MX"/>
        </w:rPr>
      </w:pPr>
      <w:r w:rsidRPr="00CF65D6">
        <w:rPr>
          <w:lang w:val="es-MX"/>
        </w:rPr>
        <w:t>¿Cuál es el contexto histórico del autor?</w:t>
      </w:r>
    </w:p>
    <w:p w:rsidR="00CF65D6" w:rsidRPr="00CF65D6" w:rsidRDefault="00CF65D6" w:rsidP="00CF65D6">
      <w:pPr>
        <w:pStyle w:val="Prrafodelista"/>
        <w:numPr>
          <w:ilvl w:val="0"/>
          <w:numId w:val="3"/>
        </w:numPr>
        <w:jc w:val="both"/>
        <w:rPr>
          <w:lang w:val="es-MX"/>
        </w:rPr>
      </w:pPr>
      <w:r w:rsidRPr="00CF65D6">
        <w:rPr>
          <w:lang w:val="es-MX"/>
        </w:rPr>
        <w:t>¿Cuál es el propósito del autor?</w:t>
      </w:r>
    </w:p>
    <w:p w:rsidR="00163884" w:rsidRDefault="00CF65D6" w:rsidP="00CF65D6">
      <w:pPr>
        <w:pStyle w:val="Prrafodelista"/>
        <w:numPr>
          <w:ilvl w:val="0"/>
          <w:numId w:val="3"/>
        </w:numPr>
        <w:jc w:val="both"/>
        <w:rPr>
          <w:lang w:val="es-MX"/>
        </w:rPr>
      </w:pPr>
      <w:r w:rsidRPr="00CF65D6">
        <w:rPr>
          <w:lang w:val="es-MX"/>
        </w:rPr>
        <w:t>¿Están de acuerdo con la perspectiva del autor? Fundamente.</w:t>
      </w:r>
    </w:p>
    <w:p w:rsidR="00CF65D6" w:rsidRDefault="00CF65D6" w:rsidP="00CF65D6">
      <w:pPr>
        <w:jc w:val="both"/>
        <w:rPr>
          <w:lang w:val="es-MX"/>
        </w:rPr>
      </w:pPr>
    </w:p>
    <w:p w:rsidR="00CF65D6" w:rsidRDefault="00CF65D6" w:rsidP="00CF65D6">
      <w:pPr>
        <w:ind w:firstLine="720"/>
        <w:rPr>
          <w:u w:val="single"/>
          <w:lang w:val="es-CL"/>
        </w:rPr>
      </w:pPr>
      <w:r>
        <w:rPr>
          <w:lang w:val="es-MX"/>
        </w:rPr>
        <w:t xml:space="preserve">Nota: esta actividad desarrollada debe ser entregada el jueves 02 de abril vía correo electrónico: </w:t>
      </w:r>
      <w:hyperlink r:id="rId7" w:history="1">
        <w:r>
          <w:rPr>
            <w:rStyle w:val="Hipervnculo"/>
            <w:b/>
            <w:bCs/>
            <w:lang w:val="es-CL"/>
          </w:rPr>
          <w:t>alfredoaravena89@gmail.com</w:t>
        </w:r>
      </w:hyperlink>
      <w:r>
        <w:rPr>
          <w:b/>
          <w:bCs/>
          <w:lang w:val="es-CL"/>
        </w:rPr>
        <w:t xml:space="preserve">, </w:t>
      </w:r>
      <w:r>
        <w:rPr>
          <w:u w:val="single"/>
          <w:lang w:val="es-CL"/>
        </w:rPr>
        <w:t xml:space="preserve">si no tienen computador pueden desarrollar la actividad en su cuaderno y enviar las fotos.  </w:t>
      </w:r>
    </w:p>
    <w:p w:rsidR="00CF65D6" w:rsidRPr="00CF65D6" w:rsidRDefault="00CF65D6" w:rsidP="00CF65D6">
      <w:pPr>
        <w:jc w:val="both"/>
        <w:rPr>
          <w:lang w:val="es-CL"/>
        </w:rPr>
      </w:pPr>
    </w:p>
    <w:sectPr w:rsidR="00CF65D6" w:rsidRPr="00CF65D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8E5" w:rsidRDefault="00A748E5" w:rsidP="00CF65D6">
      <w:pPr>
        <w:spacing w:after="0" w:line="240" w:lineRule="auto"/>
      </w:pPr>
      <w:r>
        <w:separator/>
      </w:r>
    </w:p>
  </w:endnote>
  <w:endnote w:type="continuationSeparator" w:id="0">
    <w:p w:rsidR="00A748E5" w:rsidRDefault="00A748E5" w:rsidP="00CF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E63" w:rsidRDefault="00124E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E63" w:rsidRDefault="00124E6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E63" w:rsidRDefault="00124E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8E5" w:rsidRDefault="00A748E5" w:rsidP="00CF65D6">
      <w:pPr>
        <w:spacing w:after="0" w:line="240" w:lineRule="auto"/>
      </w:pPr>
      <w:r>
        <w:separator/>
      </w:r>
    </w:p>
  </w:footnote>
  <w:footnote w:type="continuationSeparator" w:id="0">
    <w:p w:rsidR="00A748E5" w:rsidRDefault="00A748E5" w:rsidP="00CF6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E63" w:rsidRDefault="00124E6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D6" w:rsidRDefault="00CF65D6">
    <w:pPr>
      <w:pStyle w:val="Encabezado"/>
      <w:rPr>
        <w:lang w:val="es-MX"/>
      </w:rPr>
    </w:pPr>
    <w:r>
      <w:rPr>
        <w:lang w:val="es-MX"/>
      </w:rPr>
      <w:t>Alfredo Aravena Ruiz</w:t>
    </w:r>
  </w:p>
  <w:p w:rsidR="00CF65D6" w:rsidRDefault="00CF65D6">
    <w:pPr>
      <w:pStyle w:val="Encabezado"/>
      <w:rPr>
        <w:lang w:val="es-MX"/>
      </w:rPr>
    </w:pPr>
    <w:r>
      <w:rPr>
        <w:lang w:val="es-MX"/>
      </w:rPr>
      <w:t xml:space="preserve">Historia </w:t>
    </w:r>
    <w:r w:rsidR="00124E63">
      <w:rPr>
        <w:lang w:val="es-MX"/>
      </w:rPr>
      <w:t>Geografía</w:t>
    </w:r>
    <w:r>
      <w:rPr>
        <w:lang w:val="es-MX"/>
      </w:rPr>
      <w:t xml:space="preserve"> y Cs. Sociales </w:t>
    </w:r>
  </w:p>
  <w:p w:rsidR="00CF65D6" w:rsidRDefault="00CF65D6">
    <w:pPr>
      <w:pStyle w:val="Encabezado"/>
      <w:rPr>
        <w:lang w:val="es-MX"/>
      </w:rPr>
    </w:pPr>
    <w:r>
      <w:rPr>
        <w:lang w:val="es-MX"/>
      </w:rPr>
      <w:t xml:space="preserve">Liceo República Argentina </w:t>
    </w:r>
  </w:p>
  <w:p w:rsidR="00CF65D6" w:rsidRPr="00CF65D6" w:rsidRDefault="00CF65D6">
    <w:pPr>
      <w:pStyle w:val="Encabezado"/>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E63" w:rsidRDefault="00124E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F76D9"/>
    <w:multiLevelType w:val="hybridMultilevel"/>
    <w:tmpl w:val="A850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93F4B"/>
    <w:multiLevelType w:val="multilevel"/>
    <w:tmpl w:val="61CC5582"/>
    <w:lvl w:ilvl="0">
      <w:start w:val="1"/>
      <w:numFmt w:val="lowerLetter"/>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C8405F"/>
    <w:multiLevelType w:val="hybridMultilevel"/>
    <w:tmpl w:val="4434DD96"/>
    <w:lvl w:ilvl="0" w:tplc="76E0F9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C1B9D"/>
    <w:multiLevelType w:val="hybridMultilevel"/>
    <w:tmpl w:val="11264C6E"/>
    <w:lvl w:ilvl="0" w:tplc="1D189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063E45"/>
    <w:multiLevelType w:val="multilevel"/>
    <w:tmpl w:val="61CC5582"/>
    <w:lvl w:ilvl="0">
      <w:start w:val="1"/>
      <w:numFmt w:val="lowerLetter"/>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84"/>
    <w:rsid w:val="00124E63"/>
    <w:rsid w:val="00163884"/>
    <w:rsid w:val="00784426"/>
    <w:rsid w:val="007E5A64"/>
    <w:rsid w:val="00A748E5"/>
    <w:rsid w:val="00CF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0953F-C94D-46BC-B0DC-CB877F20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638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3884"/>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163884"/>
    <w:pPr>
      <w:ind w:left="720"/>
      <w:contextualSpacing/>
    </w:pPr>
  </w:style>
  <w:style w:type="table" w:styleId="Tablaconcuadrcula">
    <w:name w:val="Table Grid"/>
    <w:basedOn w:val="Tablanormal"/>
    <w:uiPriority w:val="39"/>
    <w:rsid w:val="0016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65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65D6"/>
  </w:style>
  <w:style w:type="paragraph" w:styleId="Piedepgina">
    <w:name w:val="footer"/>
    <w:basedOn w:val="Normal"/>
    <w:link w:val="PiedepginaCar"/>
    <w:uiPriority w:val="99"/>
    <w:unhideWhenUsed/>
    <w:rsid w:val="00CF65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5D6"/>
  </w:style>
  <w:style w:type="character" w:styleId="Hipervnculo">
    <w:name w:val="Hyperlink"/>
    <w:basedOn w:val="Fuentedeprrafopredeter"/>
    <w:uiPriority w:val="99"/>
    <w:semiHidden/>
    <w:unhideWhenUsed/>
    <w:rsid w:val="00CF65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6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fredoaravena89@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4563</Words>
  <Characters>25100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dc:creator>
  <cp:keywords/>
  <dc:description/>
  <cp:lastModifiedBy>Rubén Valdés Vásquez</cp:lastModifiedBy>
  <cp:revision>2</cp:revision>
  <dcterms:created xsi:type="dcterms:W3CDTF">2020-03-28T21:33:00Z</dcterms:created>
  <dcterms:modified xsi:type="dcterms:W3CDTF">2020-03-28T21:33:00Z</dcterms:modified>
</cp:coreProperties>
</file>